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1669F">
      <w:pPr>
        <w:pStyle w:val="2"/>
        <w:spacing w:line="390" w:lineRule="exact"/>
        <w:ind w:left="-178" w:leftChars="-85" w:right="-334" w:rightChars="-159" w:firstLine="156" w:firstLineChars="56"/>
        <w:rPr>
          <w:rFonts w:cs="宋体" w:asciiTheme="minorEastAsia" w:hAnsiTheme="minorEastAsia" w:eastAsiaTheme="minorEastAsia"/>
          <w:sz w:val="28"/>
          <w:szCs w:val="28"/>
        </w:rPr>
      </w:pPr>
    </w:p>
    <w:p w14:paraId="58C436F3">
      <w:pPr>
        <w:pStyle w:val="2"/>
        <w:spacing w:line="390" w:lineRule="exact"/>
        <w:ind w:left="-178" w:leftChars="-85" w:right="-334" w:rightChars="-159" w:firstLine="179" w:firstLineChars="56"/>
        <w:jc w:val="center"/>
        <w:rPr>
          <w:rFonts w:ascii="方正小标宋简体" w:hAnsi="宋体" w:eastAsia="方正小标宋简体" w:cs="宋体"/>
          <w:sz w:val="32"/>
          <w:szCs w:val="32"/>
        </w:rPr>
      </w:pPr>
      <w:r>
        <w:rPr>
          <w:rFonts w:hint="eastAsia" w:ascii="方正小标宋简体" w:hAnsi="宋体" w:eastAsia="方正小标宋简体" w:cs="宋体"/>
          <w:sz w:val="32"/>
          <w:szCs w:val="32"/>
        </w:rPr>
        <w:t>关于全日制和非全日制硕士专业学位研究生培养环节的说明</w:t>
      </w:r>
    </w:p>
    <w:p w14:paraId="4252E7DC">
      <w:pPr>
        <w:spacing w:line="440" w:lineRule="exact"/>
        <w:ind w:firstLine="420"/>
        <w:rPr>
          <w:sz w:val="24"/>
          <w:szCs w:val="24"/>
        </w:rPr>
      </w:pPr>
    </w:p>
    <w:p w14:paraId="284FA6E9">
      <w:pPr>
        <w:spacing w:line="440" w:lineRule="exact"/>
        <w:ind w:firstLine="420"/>
        <w:rPr>
          <w:rFonts w:ascii="Times New Roman" w:hAnsi="Times New Roman"/>
          <w:b/>
          <w:sz w:val="24"/>
          <w:szCs w:val="24"/>
        </w:rPr>
      </w:pPr>
      <w:r>
        <w:rPr>
          <w:rFonts w:hint="eastAsia"/>
          <w:sz w:val="24"/>
          <w:szCs w:val="24"/>
        </w:rPr>
        <w:t>为使研究生、导师和相关管理人员更好地了解专业学位研究生培养的各个环节，掌握各个具体内容与要求，特作如下说明：</w:t>
      </w:r>
    </w:p>
    <w:p w14:paraId="4939D7B2">
      <w:pPr>
        <w:spacing w:line="440" w:lineRule="exact"/>
        <w:outlineLvl w:val="0"/>
        <w:rPr>
          <w:rFonts w:ascii="Times New Roman" w:hAnsi="Times New Roman"/>
          <w:b/>
          <w:sz w:val="24"/>
          <w:szCs w:val="24"/>
        </w:rPr>
      </w:pPr>
      <w:r>
        <w:rPr>
          <w:rFonts w:ascii="Times New Roman" w:hAnsi="Times New Roman"/>
          <w:b/>
          <w:sz w:val="24"/>
          <w:szCs w:val="24"/>
        </w:rPr>
        <w:t>1</w:t>
      </w:r>
      <w:r>
        <w:rPr>
          <w:rFonts w:hint="eastAsia" w:ascii="Times New Roman" w:hAnsi="Times New Roman"/>
          <w:b/>
          <w:sz w:val="24"/>
          <w:szCs w:val="24"/>
        </w:rPr>
        <w:t>．</w:t>
      </w:r>
      <w:r>
        <w:rPr>
          <w:rFonts w:ascii="Times New Roman" w:hAnsi="Times New Roman"/>
          <w:b/>
          <w:sz w:val="24"/>
          <w:szCs w:val="24"/>
        </w:rPr>
        <w:t>制定</w:t>
      </w:r>
      <w:r>
        <w:rPr>
          <w:rFonts w:hint="eastAsia" w:ascii="Times New Roman" w:hAnsi="Times New Roman"/>
          <w:b/>
          <w:sz w:val="24"/>
          <w:szCs w:val="24"/>
        </w:rPr>
        <w:t>个人</w:t>
      </w:r>
      <w:r>
        <w:rPr>
          <w:rFonts w:ascii="Times New Roman" w:hAnsi="Times New Roman"/>
          <w:b/>
          <w:sz w:val="24"/>
          <w:szCs w:val="24"/>
        </w:rPr>
        <w:t>培养计划</w:t>
      </w:r>
      <w:r>
        <w:rPr>
          <w:rFonts w:hint="eastAsia" w:ascii="Times New Roman" w:hAnsi="Times New Roman"/>
          <w:b/>
          <w:sz w:val="24"/>
          <w:szCs w:val="24"/>
        </w:rPr>
        <w:t>、学习与研究规划</w:t>
      </w:r>
    </w:p>
    <w:p w14:paraId="50F77C5B">
      <w:pPr>
        <w:pStyle w:val="2"/>
        <w:spacing w:line="440" w:lineRule="exact"/>
        <w:ind w:firstLine="480" w:firstLineChars="200"/>
        <w:rPr>
          <w:rFonts w:ascii="Times New Roman" w:hAnsi="Times New Roman"/>
          <w:sz w:val="24"/>
          <w:szCs w:val="24"/>
        </w:rPr>
      </w:pPr>
      <w:r>
        <w:rPr>
          <w:rFonts w:hint="eastAsia" w:ascii="Times New Roman" w:hAnsi="Times New Roman"/>
          <w:sz w:val="24"/>
          <w:szCs w:val="24"/>
        </w:rPr>
        <w:t>硕士专业学位研究生</w:t>
      </w:r>
      <w:r>
        <w:rPr>
          <w:rFonts w:ascii="Times New Roman" w:hAnsi="Times New Roman"/>
          <w:sz w:val="24"/>
          <w:szCs w:val="24"/>
        </w:rPr>
        <w:t>在入学后，在导师指导下，根据本</w:t>
      </w:r>
      <w:r>
        <w:rPr>
          <w:rFonts w:hint="eastAsia" w:ascii="Times New Roman" w:hAnsi="Times New Roman"/>
          <w:sz w:val="24"/>
          <w:szCs w:val="24"/>
        </w:rPr>
        <w:t>学科、</w:t>
      </w:r>
      <w:r>
        <w:rPr>
          <w:rFonts w:ascii="Times New Roman" w:hAnsi="Times New Roman"/>
          <w:sz w:val="24"/>
          <w:szCs w:val="24"/>
        </w:rPr>
        <w:t>专业</w:t>
      </w:r>
      <w:r>
        <w:rPr>
          <w:rFonts w:hint="eastAsia" w:ascii="Times New Roman" w:hAnsi="Times New Roman"/>
          <w:sz w:val="24"/>
          <w:szCs w:val="24"/>
        </w:rPr>
        <w:t>的“</w:t>
      </w:r>
      <w:r>
        <w:rPr>
          <w:rFonts w:ascii="Times New Roman" w:hAnsi="Times New Roman"/>
          <w:sz w:val="24"/>
          <w:szCs w:val="24"/>
        </w:rPr>
        <w:t>培养方案</w:t>
      </w:r>
      <w:r>
        <w:rPr>
          <w:rFonts w:hint="eastAsia" w:ascii="Times New Roman" w:hAnsi="Times New Roman"/>
          <w:sz w:val="24"/>
          <w:szCs w:val="24"/>
        </w:rPr>
        <w:t>”</w:t>
      </w:r>
      <w:r>
        <w:rPr>
          <w:rFonts w:ascii="Times New Roman" w:hAnsi="Times New Roman"/>
          <w:sz w:val="24"/>
          <w:szCs w:val="24"/>
        </w:rPr>
        <w:t>制定出研究生个人</w:t>
      </w:r>
      <w:r>
        <w:rPr>
          <w:rFonts w:hint="eastAsia" w:ascii="Times New Roman" w:hAnsi="Times New Roman"/>
          <w:sz w:val="24"/>
          <w:szCs w:val="24"/>
        </w:rPr>
        <w:t>“</w:t>
      </w:r>
      <w:r>
        <w:rPr>
          <w:rFonts w:ascii="Times New Roman" w:hAnsi="Times New Roman"/>
          <w:sz w:val="24"/>
          <w:szCs w:val="24"/>
        </w:rPr>
        <w:t>培养计划</w:t>
      </w:r>
      <w:r>
        <w:rPr>
          <w:rFonts w:hint="eastAsia" w:ascii="Times New Roman" w:hAnsi="Times New Roman"/>
          <w:sz w:val="24"/>
          <w:szCs w:val="24"/>
        </w:rPr>
        <w:t>”和学习与研究规划，在“研究生综合教育服务平台”中提交</w:t>
      </w:r>
      <w:r>
        <w:rPr>
          <w:rFonts w:ascii="Times New Roman" w:hAnsi="Times New Roman"/>
          <w:sz w:val="24"/>
          <w:szCs w:val="24"/>
        </w:rPr>
        <w:t>。</w:t>
      </w:r>
      <w:r>
        <w:rPr>
          <w:rFonts w:hint="eastAsia" w:ascii="Times New Roman" w:hAnsi="Times New Roman"/>
          <w:sz w:val="24"/>
          <w:szCs w:val="24"/>
        </w:rPr>
        <w:t>在个人培养计划制订上务必严谨、严肃。</w:t>
      </w:r>
    </w:p>
    <w:p w14:paraId="39FF6432">
      <w:pPr>
        <w:pStyle w:val="2"/>
        <w:spacing w:line="440" w:lineRule="exact"/>
        <w:ind w:firstLine="482" w:firstLineChars="200"/>
        <w:rPr>
          <w:rFonts w:ascii="Times New Roman" w:hAnsi="Times New Roman"/>
          <w:b/>
          <w:sz w:val="24"/>
          <w:szCs w:val="24"/>
        </w:rPr>
      </w:pPr>
      <w:r>
        <w:rPr>
          <w:rFonts w:hint="eastAsia" w:ascii="Times New Roman" w:hAnsi="Times New Roman"/>
          <w:b/>
          <w:sz w:val="24"/>
          <w:szCs w:val="24"/>
        </w:rPr>
        <w:t>2．</w:t>
      </w:r>
      <w:r>
        <w:rPr>
          <w:rFonts w:ascii="Times New Roman" w:hAnsi="Times New Roman"/>
          <w:b/>
          <w:sz w:val="24"/>
          <w:szCs w:val="24"/>
        </w:rPr>
        <w:t>课程学习</w:t>
      </w:r>
      <w:r>
        <w:rPr>
          <w:rFonts w:hint="eastAsia" w:ascii="Times New Roman" w:hAnsi="Times New Roman"/>
          <w:b/>
          <w:sz w:val="24"/>
          <w:szCs w:val="24"/>
        </w:rPr>
        <w:t>和学分要求</w:t>
      </w:r>
    </w:p>
    <w:p w14:paraId="52B4A139">
      <w:pPr>
        <w:pStyle w:val="2"/>
        <w:spacing w:line="440" w:lineRule="exact"/>
        <w:ind w:firstLine="480" w:firstLineChars="200"/>
        <w:rPr>
          <w:rFonts w:ascii="Times New Roman" w:hAnsi="Times New Roman"/>
          <w:sz w:val="24"/>
          <w:szCs w:val="24"/>
        </w:rPr>
      </w:pPr>
      <w:r>
        <w:rPr>
          <w:rFonts w:hint="eastAsia"/>
          <w:sz w:val="24"/>
        </w:rPr>
        <w:t>全日制硕士专业学位研究生：在规定学制</w:t>
      </w:r>
      <w:r>
        <w:rPr>
          <w:rFonts w:hint="eastAsia" w:ascii="Times New Roman" w:hAnsi="Times New Roman"/>
          <w:sz w:val="24"/>
          <w:szCs w:val="24"/>
        </w:rPr>
        <w:t>内，研究生入学后的第1~3</w:t>
      </w:r>
      <w:r>
        <w:rPr>
          <w:rFonts w:ascii="Times New Roman" w:hAnsi="Times New Roman"/>
          <w:sz w:val="24"/>
          <w:szCs w:val="24"/>
        </w:rPr>
        <w:t>学期为课程学习阶段</w:t>
      </w:r>
      <w:r>
        <w:rPr>
          <w:rFonts w:hint="eastAsia" w:ascii="Times New Roman" w:hAnsi="Times New Roman"/>
          <w:sz w:val="24"/>
          <w:szCs w:val="24"/>
        </w:rPr>
        <w:t>。需</w:t>
      </w:r>
      <w:r>
        <w:rPr>
          <w:rFonts w:ascii="Times New Roman" w:hAnsi="Times New Roman"/>
          <w:sz w:val="24"/>
          <w:szCs w:val="24"/>
        </w:rPr>
        <w:t>根据</w:t>
      </w:r>
      <w:r>
        <w:rPr>
          <w:rFonts w:hint="eastAsia" w:ascii="Times New Roman" w:hAnsi="Times New Roman"/>
          <w:sz w:val="24"/>
          <w:szCs w:val="24"/>
        </w:rPr>
        <w:t>专业“培养方案”和</w:t>
      </w:r>
      <w:r>
        <w:rPr>
          <w:rFonts w:ascii="Times New Roman" w:hAnsi="Times New Roman"/>
          <w:sz w:val="24"/>
          <w:szCs w:val="24"/>
        </w:rPr>
        <w:t>个人</w:t>
      </w:r>
      <w:r>
        <w:rPr>
          <w:rFonts w:hint="eastAsia" w:ascii="Times New Roman" w:hAnsi="Times New Roman"/>
          <w:sz w:val="24"/>
          <w:szCs w:val="24"/>
        </w:rPr>
        <w:t>“</w:t>
      </w:r>
      <w:r>
        <w:rPr>
          <w:rFonts w:ascii="Times New Roman" w:hAnsi="Times New Roman"/>
          <w:sz w:val="24"/>
          <w:szCs w:val="24"/>
        </w:rPr>
        <w:t>培养计划</w:t>
      </w:r>
      <w:r>
        <w:rPr>
          <w:rFonts w:hint="eastAsia" w:ascii="Times New Roman" w:hAnsi="Times New Roman"/>
          <w:sz w:val="24"/>
          <w:szCs w:val="24"/>
        </w:rPr>
        <w:t>”</w:t>
      </w:r>
      <w:r>
        <w:rPr>
          <w:rFonts w:ascii="Times New Roman" w:hAnsi="Times New Roman"/>
          <w:sz w:val="24"/>
          <w:szCs w:val="24"/>
        </w:rPr>
        <w:t>，</w:t>
      </w:r>
      <w:r>
        <w:rPr>
          <w:rFonts w:hint="eastAsia" w:ascii="Times New Roman" w:hAnsi="Times New Roman"/>
          <w:sz w:val="24"/>
          <w:szCs w:val="24"/>
        </w:rPr>
        <w:t>及时认真地做好网上选课工作，积极</w:t>
      </w:r>
      <w:r>
        <w:rPr>
          <w:rFonts w:ascii="Times New Roman" w:hAnsi="Times New Roman"/>
          <w:sz w:val="24"/>
          <w:szCs w:val="24"/>
        </w:rPr>
        <w:t>修读研究生课程。</w:t>
      </w:r>
    </w:p>
    <w:p w14:paraId="38EC837D">
      <w:pPr>
        <w:pStyle w:val="2"/>
        <w:spacing w:line="440" w:lineRule="exact"/>
        <w:ind w:firstLine="480" w:firstLineChars="200"/>
        <w:rPr>
          <w:rFonts w:ascii="Times New Roman" w:hAnsi="Times New Roman"/>
          <w:sz w:val="24"/>
          <w:szCs w:val="24"/>
        </w:rPr>
      </w:pPr>
      <w:r>
        <w:rPr>
          <w:rFonts w:hint="eastAsia" w:ascii="Times New Roman" w:hAnsi="Times New Roman"/>
          <w:sz w:val="24"/>
          <w:szCs w:val="24"/>
        </w:rPr>
        <w:t>研究生的课程学习和学分要求，既与培养方案有关，也与个人培养计划相关，还涉及到研究生中期考核、开题、学位论文答辩申请、毕业与学位等管理环节，因此，研究生本人、研究生导师、研究生管理工作人员和任课教师等相关人员须按有关规定对培养中的各个环节进行合理安排、规范操作、认真核对。</w:t>
      </w:r>
    </w:p>
    <w:p w14:paraId="226CD566">
      <w:pPr>
        <w:pStyle w:val="2"/>
        <w:spacing w:line="440" w:lineRule="exact"/>
        <w:ind w:firstLine="480" w:firstLineChars="200"/>
        <w:rPr>
          <w:rFonts w:ascii="Times New Roman" w:hAnsi="Times New Roman"/>
          <w:sz w:val="24"/>
          <w:szCs w:val="24"/>
        </w:rPr>
      </w:pPr>
      <w:r>
        <w:rPr>
          <w:rFonts w:hint="eastAsia" w:ascii="Times New Roman" w:hAnsi="Times New Roman"/>
          <w:sz w:val="24"/>
          <w:szCs w:val="24"/>
        </w:rPr>
        <w:t>选入个人培养计划的课程，必须修学并获得相应学分（同等学力或跨学科招录生须修学“补修课程”但不计学分）。</w:t>
      </w:r>
    </w:p>
    <w:p w14:paraId="43FAC67F">
      <w:pPr>
        <w:pStyle w:val="2"/>
        <w:spacing w:line="440" w:lineRule="exact"/>
        <w:ind w:firstLine="480" w:firstLineChars="200"/>
        <w:rPr>
          <w:rFonts w:ascii="Times New Roman" w:hAnsi="Times New Roman"/>
          <w:b/>
          <w:sz w:val="24"/>
          <w:szCs w:val="24"/>
        </w:rPr>
      </w:pPr>
      <w:r>
        <w:rPr>
          <w:rFonts w:hint="eastAsia" w:ascii="Times New Roman" w:hAnsi="Times New Roman"/>
          <w:sz w:val="24"/>
          <w:szCs w:val="24"/>
        </w:rPr>
        <w:t>非全日制硕士专业学位</w:t>
      </w:r>
      <w:r>
        <w:rPr>
          <w:rFonts w:hint="eastAsia"/>
          <w:sz w:val="24"/>
        </w:rPr>
        <w:t>研究生</w:t>
      </w:r>
      <w:r>
        <w:rPr>
          <w:rFonts w:hint="eastAsia" w:ascii="Times New Roman" w:hAnsi="Times New Roman"/>
          <w:sz w:val="24"/>
          <w:szCs w:val="24"/>
        </w:rPr>
        <w:t>：</w:t>
      </w:r>
      <w:r>
        <w:rPr>
          <w:rFonts w:hint="eastAsia"/>
          <w:sz w:val="24"/>
        </w:rPr>
        <w:t>在规定的学习年限</w:t>
      </w:r>
      <w:r>
        <w:rPr>
          <w:rFonts w:hint="eastAsia" w:ascii="Times New Roman" w:hAnsi="Times New Roman"/>
          <w:sz w:val="24"/>
          <w:szCs w:val="24"/>
        </w:rPr>
        <w:t>内，一般在集中授课后完成公共课和专业课学习。各学院可根据实际情况，在集中授课外的其他时间段安排在职硕士专业课学习。</w:t>
      </w:r>
      <w:bookmarkStart w:id="1" w:name="_GoBack"/>
      <w:bookmarkEnd w:id="1"/>
    </w:p>
    <w:p w14:paraId="67B3B93A">
      <w:pPr>
        <w:pStyle w:val="2"/>
        <w:spacing w:line="440" w:lineRule="exact"/>
        <w:ind w:firstLine="482" w:firstLineChars="200"/>
        <w:rPr>
          <w:rFonts w:ascii="Times New Roman" w:hAnsi="Times New Roman"/>
          <w:b/>
          <w:sz w:val="24"/>
          <w:szCs w:val="24"/>
        </w:rPr>
      </w:pPr>
      <w:r>
        <w:rPr>
          <w:rFonts w:hint="eastAsia" w:ascii="Times New Roman" w:hAnsi="Times New Roman"/>
          <w:b/>
          <w:sz w:val="24"/>
          <w:szCs w:val="24"/>
        </w:rPr>
        <w:t>3．</w:t>
      </w:r>
      <w:bookmarkStart w:id="0" w:name="OLE_LINK1"/>
      <w:r>
        <w:rPr>
          <w:rFonts w:hint="eastAsia" w:ascii="Times New Roman" w:hAnsi="Times New Roman"/>
          <w:b/>
          <w:sz w:val="24"/>
          <w:szCs w:val="24"/>
        </w:rPr>
        <w:t>课程</w:t>
      </w:r>
      <w:bookmarkEnd w:id="0"/>
      <w:r>
        <w:rPr>
          <w:rFonts w:ascii="Times New Roman" w:hAnsi="Times New Roman"/>
          <w:b/>
          <w:sz w:val="24"/>
          <w:szCs w:val="24"/>
        </w:rPr>
        <w:t>中期考核</w:t>
      </w:r>
    </w:p>
    <w:p w14:paraId="5C27D972">
      <w:pPr>
        <w:pStyle w:val="2"/>
        <w:spacing w:line="440" w:lineRule="exact"/>
        <w:ind w:firstLine="480" w:firstLineChars="200"/>
        <w:rPr>
          <w:rFonts w:ascii="Times New Roman" w:hAnsi="Times New Roman"/>
          <w:sz w:val="24"/>
          <w:szCs w:val="24"/>
        </w:rPr>
      </w:pPr>
      <w:r>
        <w:rPr>
          <w:rFonts w:hint="eastAsia" w:ascii="Times New Roman" w:hAnsi="Times New Roman"/>
          <w:sz w:val="24"/>
          <w:szCs w:val="24"/>
        </w:rPr>
        <w:t>课程中期考核是在研究生</w:t>
      </w:r>
      <w:r>
        <w:rPr>
          <w:rFonts w:ascii="Times New Roman" w:hAnsi="Times New Roman"/>
          <w:sz w:val="24"/>
          <w:szCs w:val="24"/>
        </w:rPr>
        <w:t>课程学习基本结束后，以</w:t>
      </w:r>
      <w:r>
        <w:rPr>
          <w:rFonts w:hint="eastAsia" w:ascii="Times New Roman" w:hAnsi="Times New Roman"/>
          <w:sz w:val="24"/>
          <w:szCs w:val="24"/>
        </w:rPr>
        <w:t>培养方案和</w:t>
      </w:r>
      <w:r>
        <w:rPr>
          <w:rFonts w:ascii="Times New Roman" w:hAnsi="Times New Roman"/>
          <w:sz w:val="24"/>
          <w:szCs w:val="24"/>
        </w:rPr>
        <w:t>研究生</w:t>
      </w:r>
      <w:r>
        <w:rPr>
          <w:rFonts w:hint="eastAsia" w:ascii="Times New Roman" w:hAnsi="Times New Roman"/>
          <w:sz w:val="24"/>
          <w:szCs w:val="24"/>
        </w:rPr>
        <w:t>个人</w:t>
      </w:r>
      <w:r>
        <w:rPr>
          <w:rFonts w:ascii="Times New Roman" w:hAnsi="Times New Roman"/>
          <w:sz w:val="24"/>
          <w:szCs w:val="24"/>
        </w:rPr>
        <w:t>培养计划为依据，</w:t>
      </w:r>
      <w:r>
        <w:rPr>
          <w:rFonts w:hint="eastAsia" w:ascii="Times New Roman" w:hAnsi="Times New Roman"/>
          <w:sz w:val="24"/>
          <w:szCs w:val="24"/>
        </w:rPr>
        <w:t>对研究生的课程修学</w:t>
      </w:r>
      <w:r>
        <w:rPr>
          <w:rFonts w:ascii="Times New Roman" w:hAnsi="Times New Roman"/>
          <w:sz w:val="24"/>
          <w:szCs w:val="24"/>
        </w:rPr>
        <w:t>情况</w:t>
      </w:r>
      <w:r>
        <w:rPr>
          <w:rFonts w:hint="eastAsia" w:ascii="Times New Roman" w:hAnsi="Times New Roman"/>
          <w:sz w:val="24"/>
          <w:szCs w:val="24"/>
        </w:rPr>
        <w:t>进行的考核</w:t>
      </w:r>
      <w:r>
        <w:rPr>
          <w:rFonts w:ascii="Times New Roman" w:hAnsi="Times New Roman"/>
          <w:sz w:val="24"/>
          <w:szCs w:val="24"/>
        </w:rPr>
        <w:t>。</w:t>
      </w:r>
      <w:r>
        <w:rPr>
          <w:rFonts w:hint="eastAsia" w:ascii="Times New Roman" w:hAnsi="Times New Roman"/>
          <w:sz w:val="24"/>
          <w:szCs w:val="24"/>
        </w:rPr>
        <w:t>中期考核时间：专业学位（3年制）一般安排在第5学期进行，专业学位（2年制/2.5年制）一般安排在第3学期进行。</w:t>
      </w:r>
    </w:p>
    <w:p w14:paraId="5167DEE2">
      <w:pPr>
        <w:pStyle w:val="2"/>
        <w:spacing w:line="440" w:lineRule="exact"/>
        <w:ind w:firstLine="482" w:firstLineChars="200"/>
        <w:rPr>
          <w:rFonts w:ascii="Times New Roman" w:hAnsi="Times New Roman"/>
          <w:b/>
          <w:sz w:val="24"/>
          <w:szCs w:val="24"/>
        </w:rPr>
      </w:pPr>
      <w:r>
        <w:rPr>
          <w:rFonts w:hint="eastAsia" w:ascii="Times New Roman" w:hAnsi="Times New Roman"/>
          <w:b/>
          <w:sz w:val="24"/>
          <w:szCs w:val="24"/>
        </w:rPr>
        <w:t>4．实践教学环节</w:t>
      </w:r>
    </w:p>
    <w:p w14:paraId="5BEF556F">
      <w:pPr>
        <w:pStyle w:val="2"/>
        <w:spacing w:line="440" w:lineRule="exact"/>
        <w:ind w:firstLine="480" w:firstLineChars="200"/>
        <w:rPr>
          <w:rFonts w:ascii="Times New Roman" w:hAnsi="Times New Roman"/>
          <w:sz w:val="24"/>
          <w:szCs w:val="24"/>
        </w:rPr>
      </w:pPr>
      <w:r>
        <w:rPr>
          <w:rFonts w:hint="eastAsia" w:ascii="Times New Roman" w:hAnsi="Times New Roman"/>
          <w:sz w:val="24"/>
          <w:szCs w:val="24"/>
        </w:rPr>
        <w:t>实践教学是专业学位研究生培养的关键环节，是提高研究生毕业质量的重要保障。</w:t>
      </w:r>
    </w:p>
    <w:p w14:paraId="09F81DB0">
      <w:pPr>
        <w:pStyle w:val="2"/>
        <w:spacing w:line="440" w:lineRule="exact"/>
        <w:ind w:firstLine="480" w:firstLineChars="200"/>
        <w:rPr>
          <w:rFonts w:ascii="Times New Roman" w:hAnsi="宋体"/>
          <w:sz w:val="24"/>
          <w:szCs w:val="24"/>
        </w:rPr>
      </w:pPr>
      <w:r>
        <w:rPr>
          <w:rFonts w:hint="eastAsia"/>
          <w:sz w:val="24"/>
        </w:rPr>
        <w:t>各专业根据培养方案要求开展研究生实践教学工作，校外实践导师应全程指导参与研究生的实践工作；全日制专业学位三年制研究生应在第二年完成实践；</w:t>
      </w:r>
      <w:r>
        <w:rPr>
          <w:rFonts w:hint="eastAsia" w:ascii="Times New Roman" w:hAnsi="Times New Roman"/>
          <w:sz w:val="24"/>
          <w:szCs w:val="24"/>
        </w:rPr>
        <w:t>非全日制</w:t>
      </w:r>
      <w:r>
        <w:rPr>
          <w:rFonts w:hint="eastAsia"/>
          <w:sz w:val="24"/>
          <w:szCs w:val="24"/>
        </w:rPr>
        <w:t>专业学位研究生</w:t>
      </w:r>
      <w:r>
        <w:rPr>
          <w:rFonts w:hint="eastAsia" w:ascii="Times New Roman" w:hAnsi="Times New Roman"/>
          <w:sz w:val="24"/>
          <w:szCs w:val="24"/>
        </w:rPr>
        <w:t>应参照培养方案中的学制要求，在学习年限内合理制定</w:t>
      </w:r>
      <w:r>
        <w:rPr>
          <w:rFonts w:hint="eastAsia"/>
          <w:sz w:val="24"/>
        </w:rPr>
        <w:t>实践时间。</w:t>
      </w:r>
    </w:p>
    <w:p w14:paraId="7DDE885A">
      <w:pPr>
        <w:pStyle w:val="2"/>
        <w:spacing w:line="440" w:lineRule="exact"/>
        <w:ind w:firstLine="480" w:firstLineChars="200"/>
        <w:rPr>
          <w:rFonts w:ascii="Times New Roman" w:hAnsi="宋体"/>
          <w:sz w:val="24"/>
          <w:szCs w:val="24"/>
        </w:rPr>
      </w:pPr>
      <w:r>
        <w:rPr>
          <w:rFonts w:hint="eastAsia"/>
          <w:sz w:val="24"/>
        </w:rPr>
        <w:t>研究生在实践结束后，根据培养方案中关于实践的程序、内容、标准和要求，提交相应支撑材料，各学院要依据研究生的实践情况作出考核。相关的实习总结纸质材料由各学院保存归档，</w:t>
      </w:r>
      <w:r>
        <w:rPr>
          <w:rFonts w:hint="eastAsia" w:ascii="Times New Roman" w:hAnsi="宋体"/>
          <w:sz w:val="24"/>
          <w:szCs w:val="24"/>
        </w:rPr>
        <w:t>并在“研究生信息管理系统”中给予审核。</w:t>
      </w:r>
    </w:p>
    <w:p w14:paraId="61760474">
      <w:pPr>
        <w:pStyle w:val="2"/>
        <w:spacing w:line="440" w:lineRule="exact"/>
        <w:ind w:firstLine="482" w:firstLineChars="200"/>
        <w:rPr>
          <w:rFonts w:ascii="Times New Roman" w:hAnsi="Times New Roman"/>
          <w:b/>
          <w:sz w:val="24"/>
          <w:szCs w:val="24"/>
        </w:rPr>
      </w:pPr>
      <w:r>
        <w:rPr>
          <w:rFonts w:hint="eastAsia" w:ascii="Times New Roman" w:hAnsi="Times New Roman"/>
          <w:b/>
          <w:sz w:val="24"/>
          <w:szCs w:val="24"/>
        </w:rPr>
        <w:t>5．学位</w:t>
      </w:r>
      <w:r>
        <w:rPr>
          <w:rFonts w:ascii="Times New Roman" w:hAnsi="Times New Roman"/>
          <w:b/>
          <w:sz w:val="24"/>
          <w:szCs w:val="24"/>
        </w:rPr>
        <w:t>论文开题</w:t>
      </w:r>
    </w:p>
    <w:p w14:paraId="2F02F2A6">
      <w:pPr>
        <w:pStyle w:val="2"/>
        <w:spacing w:line="440" w:lineRule="exact"/>
        <w:ind w:firstLine="480" w:firstLineChars="200"/>
        <w:rPr>
          <w:rFonts w:ascii="Times New Roman" w:hAnsi="Times New Roman"/>
          <w:sz w:val="24"/>
          <w:szCs w:val="24"/>
        </w:rPr>
      </w:pPr>
      <w:r>
        <w:rPr>
          <w:rFonts w:hint="eastAsia"/>
          <w:sz w:val="24"/>
          <w:szCs w:val="24"/>
        </w:rPr>
        <w:t>（1）全日制专业学位两年制研究生（含留学生）</w:t>
      </w:r>
      <w:r>
        <w:rPr>
          <w:rFonts w:hint="eastAsia" w:ascii="Times New Roman" w:hAnsi="Times New Roman"/>
          <w:sz w:val="24"/>
          <w:szCs w:val="24"/>
        </w:rPr>
        <w:t>一般</w:t>
      </w:r>
      <w:r>
        <w:rPr>
          <w:rFonts w:ascii="Times New Roman" w:hAnsi="Times New Roman"/>
          <w:sz w:val="24"/>
          <w:szCs w:val="24"/>
        </w:rPr>
        <w:t>在</w:t>
      </w:r>
      <w:r>
        <w:rPr>
          <w:rFonts w:hint="eastAsia" w:ascii="Times New Roman" w:hAnsi="Times New Roman"/>
          <w:sz w:val="24"/>
          <w:szCs w:val="24"/>
        </w:rPr>
        <w:t>第二学期结束前完成开题工作，应由校内导师和校外实践导师共同参与完成。</w:t>
      </w:r>
    </w:p>
    <w:p w14:paraId="2A99D40C">
      <w:pPr>
        <w:pStyle w:val="2"/>
        <w:spacing w:line="440" w:lineRule="exact"/>
        <w:ind w:firstLine="480" w:firstLineChars="200"/>
        <w:rPr>
          <w:rFonts w:ascii="Times New Roman" w:hAnsi="Times New Roman"/>
          <w:sz w:val="24"/>
          <w:szCs w:val="24"/>
        </w:rPr>
      </w:pPr>
      <w:r>
        <w:rPr>
          <w:rFonts w:hint="eastAsia"/>
          <w:sz w:val="24"/>
          <w:szCs w:val="24"/>
        </w:rPr>
        <w:t>（2）全日制专业学位三年制研究生一般在</w:t>
      </w:r>
      <w:r>
        <w:rPr>
          <w:rFonts w:hint="eastAsia" w:ascii="Times New Roman" w:hAnsi="Times New Roman"/>
          <w:sz w:val="24"/>
          <w:szCs w:val="24"/>
        </w:rPr>
        <w:t>第三学期结束前或第四学期初完成开题工作，应由校内导师和校外实践导师共同参与完成。</w:t>
      </w:r>
    </w:p>
    <w:p w14:paraId="33A50CB5">
      <w:pPr>
        <w:pStyle w:val="2"/>
        <w:spacing w:line="440" w:lineRule="exact"/>
        <w:ind w:firstLine="480" w:firstLineChars="200"/>
        <w:rPr>
          <w:rFonts w:ascii="Times New Roman" w:hAnsi="Times New Roman"/>
          <w:sz w:val="24"/>
          <w:szCs w:val="24"/>
        </w:rPr>
      </w:pPr>
      <w:r>
        <w:rPr>
          <w:rFonts w:hint="eastAsia" w:ascii="Times New Roman" w:hAnsi="Times New Roman"/>
          <w:sz w:val="24"/>
          <w:szCs w:val="24"/>
        </w:rPr>
        <w:t>（3）非全日制</w:t>
      </w:r>
      <w:r>
        <w:rPr>
          <w:rFonts w:hint="eastAsia"/>
          <w:sz w:val="24"/>
          <w:szCs w:val="24"/>
        </w:rPr>
        <w:t>专业学位研究生</w:t>
      </w:r>
      <w:r>
        <w:rPr>
          <w:rFonts w:hint="eastAsia" w:ascii="Times New Roman" w:hAnsi="Times New Roman"/>
          <w:sz w:val="24"/>
          <w:szCs w:val="24"/>
        </w:rPr>
        <w:t>应参照培养方案中的学制要求，在学习年限内合理制定学位论文开题时间，应由校内导师和校外实践导师共同参与完成。</w:t>
      </w:r>
    </w:p>
    <w:p w14:paraId="2D945250">
      <w:pPr>
        <w:pStyle w:val="2"/>
        <w:spacing w:line="440" w:lineRule="exact"/>
        <w:ind w:firstLine="480" w:firstLineChars="200"/>
        <w:rPr>
          <w:rFonts w:ascii="Times New Roman" w:hAnsi="Times New Roman"/>
          <w:sz w:val="24"/>
          <w:szCs w:val="24"/>
        </w:rPr>
      </w:pPr>
      <w:r>
        <w:rPr>
          <w:rFonts w:hint="eastAsia" w:ascii="Times New Roman" w:hAnsi="Times New Roman"/>
          <w:sz w:val="24"/>
          <w:szCs w:val="24"/>
        </w:rPr>
        <w:t>学位论文开题需</w:t>
      </w:r>
      <w:r>
        <w:rPr>
          <w:rFonts w:ascii="Times New Roman" w:hAnsi="Times New Roman"/>
          <w:sz w:val="24"/>
          <w:szCs w:val="24"/>
        </w:rPr>
        <w:t>提交学位论文工作计划，并通过学位论文开题报告论证。开题报告</w:t>
      </w:r>
      <w:r>
        <w:rPr>
          <w:rFonts w:hint="eastAsia" w:ascii="Times New Roman" w:hAnsi="Times New Roman"/>
          <w:sz w:val="24"/>
          <w:szCs w:val="24"/>
        </w:rPr>
        <w:t>应包含选题的来源、依据、意义、研究内容、研究计划、研究方法、研究条件等内容。研究生本人的“开题申请”信息必须录入管理系统。</w:t>
      </w:r>
    </w:p>
    <w:p w14:paraId="7187E313">
      <w:pPr>
        <w:pStyle w:val="2"/>
        <w:spacing w:line="440" w:lineRule="exact"/>
        <w:ind w:firstLine="482" w:firstLineChars="200"/>
        <w:rPr>
          <w:rFonts w:ascii="Times New Roman" w:hAnsi="Times New Roman"/>
          <w:b/>
          <w:sz w:val="24"/>
          <w:szCs w:val="24"/>
        </w:rPr>
      </w:pPr>
      <w:r>
        <w:rPr>
          <w:rFonts w:hint="eastAsia" w:ascii="Times New Roman" w:hAnsi="Times New Roman"/>
          <w:b/>
          <w:sz w:val="24"/>
          <w:szCs w:val="24"/>
        </w:rPr>
        <w:t>6．学位论文中期检查</w:t>
      </w:r>
    </w:p>
    <w:p w14:paraId="35D7BE88">
      <w:pPr>
        <w:pStyle w:val="2"/>
        <w:spacing w:line="440" w:lineRule="exact"/>
        <w:ind w:firstLine="480" w:firstLineChars="200"/>
        <w:rPr>
          <w:rFonts w:ascii="Times New Roman" w:hAnsi="Times New Roman"/>
          <w:sz w:val="24"/>
          <w:szCs w:val="24"/>
        </w:rPr>
      </w:pPr>
      <w:r>
        <w:rPr>
          <w:rFonts w:ascii="Times New Roman" w:hAnsi="Times New Roman"/>
          <w:sz w:val="24"/>
          <w:szCs w:val="24"/>
        </w:rPr>
        <w:t>由导师组根据论文开题情况，检查</w:t>
      </w:r>
      <w:r>
        <w:rPr>
          <w:rFonts w:hint="eastAsia" w:ascii="Times New Roman" w:hAnsi="Times New Roman"/>
          <w:sz w:val="24"/>
          <w:szCs w:val="24"/>
        </w:rPr>
        <w:t>学位论文写作的进展和完成</w:t>
      </w:r>
      <w:r>
        <w:rPr>
          <w:rFonts w:ascii="Times New Roman" w:hAnsi="Times New Roman"/>
          <w:sz w:val="24"/>
          <w:szCs w:val="24"/>
        </w:rPr>
        <w:t>情况，并针对论文写作中出现的问题加强指导。</w:t>
      </w:r>
      <w:r>
        <w:rPr>
          <w:rFonts w:hint="eastAsia" w:ascii="Times New Roman" w:hAnsi="Times New Roman"/>
          <w:sz w:val="24"/>
          <w:szCs w:val="24"/>
        </w:rPr>
        <w:t>学位论文中期检查时研究生须提交论文初稿或详细提纲，</w:t>
      </w:r>
      <w:r>
        <w:rPr>
          <w:rFonts w:ascii="Times New Roman" w:hAnsi="Times New Roman"/>
          <w:sz w:val="24"/>
          <w:szCs w:val="24"/>
        </w:rPr>
        <w:t>并向学院论文中期考核小组汇报学位论文进展情况，听取修改意见</w:t>
      </w:r>
      <w:r>
        <w:rPr>
          <w:rFonts w:hint="eastAsia" w:ascii="Times New Roman" w:hAnsi="Times New Roman"/>
          <w:sz w:val="24"/>
          <w:szCs w:val="24"/>
        </w:rPr>
        <w:t>，之后在导师的指导下修改完善。校内导师和校外实践导师应共同参与。</w:t>
      </w:r>
    </w:p>
    <w:p w14:paraId="6C742BD2">
      <w:pPr>
        <w:pStyle w:val="2"/>
        <w:spacing w:line="440" w:lineRule="exact"/>
        <w:ind w:firstLine="482" w:firstLineChars="200"/>
        <w:rPr>
          <w:rFonts w:ascii="Times New Roman" w:hAnsi="Times New Roman"/>
          <w:b/>
          <w:sz w:val="24"/>
          <w:szCs w:val="24"/>
        </w:rPr>
      </w:pPr>
      <w:r>
        <w:rPr>
          <w:rFonts w:ascii="Times New Roman" w:hAnsi="Times New Roman"/>
          <w:b/>
          <w:sz w:val="24"/>
          <w:szCs w:val="24"/>
        </w:rPr>
        <w:t>7</w:t>
      </w:r>
      <w:r>
        <w:rPr>
          <w:rFonts w:hint="eastAsia" w:ascii="Times New Roman" w:hAnsi="Times New Roman"/>
          <w:b/>
          <w:sz w:val="24"/>
          <w:szCs w:val="24"/>
        </w:rPr>
        <w:t>．</w:t>
      </w:r>
      <w:r>
        <w:rPr>
          <w:rFonts w:ascii="Times New Roman" w:hAnsi="Times New Roman"/>
          <w:b/>
          <w:sz w:val="24"/>
          <w:szCs w:val="24"/>
        </w:rPr>
        <w:t>科研活动</w:t>
      </w:r>
      <w:r>
        <w:rPr>
          <w:rFonts w:hint="eastAsia" w:ascii="Times New Roman" w:hAnsi="Times New Roman"/>
          <w:b/>
          <w:sz w:val="24"/>
          <w:szCs w:val="24"/>
        </w:rPr>
        <w:t>与成果要求</w:t>
      </w:r>
    </w:p>
    <w:p w14:paraId="2BCC3828">
      <w:pPr>
        <w:spacing w:line="440" w:lineRule="exact"/>
        <w:ind w:firstLine="480" w:firstLineChars="200"/>
        <w:rPr>
          <w:rFonts w:ascii="Times New Roman" w:hAnsi="Times New Roman"/>
          <w:sz w:val="24"/>
          <w:szCs w:val="24"/>
        </w:rPr>
      </w:pPr>
      <w:r>
        <w:rPr>
          <w:rFonts w:hint="eastAsia" w:ascii="Times New Roman" w:hAnsi="Times New Roman"/>
          <w:sz w:val="24"/>
          <w:szCs w:val="24"/>
        </w:rPr>
        <w:t>具体按《浙江师范大学学位授予实施细则》和《浙江师范大学研究生学位授予工作细则》执行</w:t>
      </w:r>
      <w:r>
        <w:rPr>
          <w:rFonts w:ascii="Times New Roman" w:hAnsi="Times New Roman"/>
          <w:sz w:val="24"/>
          <w:szCs w:val="24"/>
        </w:rPr>
        <w:t>。</w:t>
      </w:r>
    </w:p>
    <w:p w14:paraId="73EE9337">
      <w:pPr>
        <w:pStyle w:val="2"/>
        <w:spacing w:line="440" w:lineRule="exact"/>
        <w:ind w:firstLine="482" w:firstLineChars="200"/>
        <w:rPr>
          <w:rFonts w:ascii="Times New Roman" w:hAnsi="Times New Roman"/>
          <w:b/>
          <w:sz w:val="24"/>
          <w:szCs w:val="24"/>
        </w:rPr>
      </w:pPr>
      <w:r>
        <w:rPr>
          <w:rFonts w:hint="eastAsia" w:ascii="Times New Roman" w:hAnsi="Times New Roman"/>
          <w:b/>
          <w:sz w:val="24"/>
          <w:szCs w:val="24"/>
        </w:rPr>
        <w:t>8．学位</w:t>
      </w:r>
      <w:r>
        <w:rPr>
          <w:rFonts w:ascii="Times New Roman" w:hAnsi="Times New Roman"/>
          <w:b/>
          <w:sz w:val="24"/>
          <w:szCs w:val="24"/>
        </w:rPr>
        <w:t>论文答辩</w:t>
      </w:r>
    </w:p>
    <w:p w14:paraId="21671855">
      <w:pPr>
        <w:pStyle w:val="2"/>
        <w:spacing w:line="440" w:lineRule="exact"/>
        <w:ind w:firstLine="480" w:firstLineChars="200"/>
        <w:rPr>
          <w:rFonts w:ascii="Times New Roman" w:hAnsi="Times New Roman"/>
          <w:sz w:val="24"/>
          <w:szCs w:val="24"/>
        </w:rPr>
      </w:pPr>
      <w:r>
        <w:rPr>
          <w:rFonts w:hint="eastAsia"/>
          <w:sz w:val="24"/>
          <w:szCs w:val="24"/>
        </w:rPr>
        <w:t>研究生须在申请答辩所在学期结束前3个月前完成论文终稿，并在该学期结束前1个月前</w:t>
      </w:r>
      <w:r>
        <w:rPr>
          <w:rFonts w:hint="eastAsia" w:ascii="Times New Roman" w:hAnsi="Times New Roman"/>
          <w:sz w:val="24"/>
          <w:szCs w:val="24"/>
        </w:rPr>
        <w:t>完成论文答辩</w:t>
      </w:r>
      <w:r>
        <w:rPr>
          <w:rFonts w:ascii="Times New Roman" w:hAnsi="Times New Roman"/>
          <w:sz w:val="24"/>
          <w:szCs w:val="24"/>
        </w:rPr>
        <w:t>。</w:t>
      </w:r>
    </w:p>
    <w:p w14:paraId="247AB376">
      <w:pPr>
        <w:pStyle w:val="2"/>
        <w:spacing w:line="440" w:lineRule="exact"/>
        <w:ind w:firstLine="482" w:firstLineChars="200"/>
        <w:rPr>
          <w:rFonts w:ascii="Times New Roman" w:hAnsi="Times New Roman"/>
          <w:b/>
          <w:sz w:val="24"/>
          <w:szCs w:val="24"/>
        </w:rPr>
      </w:pPr>
      <w:r>
        <w:rPr>
          <w:rFonts w:hint="eastAsia" w:ascii="Times New Roman" w:hAnsi="Times New Roman"/>
          <w:b/>
          <w:sz w:val="24"/>
          <w:szCs w:val="24"/>
        </w:rPr>
        <w:t>9．其他</w:t>
      </w:r>
    </w:p>
    <w:p w14:paraId="1A34D69D">
      <w:pPr>
        <w:pStyle w:val="2"/>
        <w:spacing w:line="440" w:lineRule="exact"/>
        <w:ind w:firstLine="480" w:firstLineChars="200"/>
        <w:rPr>
          <w:rFonts w:ascii="Times New Roman" w:hAnsi="Times New Roman"/>
          <w:sz w:val="24"/>
          <w:szCs w:val="24"/>
        </w:rPr>
      </w:pPr>
      <w:r>
        <w:rPr>
          <w:rFonts w:hint="eastAsia"/>
          <w:sz w:val="24"/>
          <w:szCs w:val="24"/>
        </w:rPr>
        <w:t>各类别或领域可根据自身特点作出进一步的要求</w:t>
      </w:r>
      <w:r>
        <w:rPr>
          <w:rFonts w:hint="eastAsia"/>
          <w:spacing w:val="-16"/>
          <w:sz w:val="24"/>
          <w:szCs w:val="24"/>
        </w:rPr>
        <w:t>，</w:t>
      </w:r>
      <w:r>
        <w:rPr>
          <w:rFonts w:hint="eastAsia"/>
          <w:sz w:val="24"/>
          <w:szCs w:val="24"/>
        </w:rPr>
        <w:t>并在培养方案中予以体现</w:t>
      </w:r>
      <w:r>
        <w:rPr>
          <w:rFonts w:hint="eastAsia"/>
          <w:spacing w:val="-16"/>
          <w:sz w:val="24"/>
          <w:szCs w:val="24"/>
        </w:rPr>
        <w:t>。</w:t>
      </w:r>
    </w:p>
    <w:p w14:paraId="1842EDD3">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6EAF"/>
    <w:rsid w:val="00002546"/>
    <w:rsid w:val="00010A68"/>
    <w:rsid w:val="00014183"/>
    <w:rsid w:val="00016046"/>
    <w:rsid w:val="00022168"/>
    <w:rsid w:val="00023990"/>
    <w:rsid w:val="00023F4F"/>
    <w:rsid w:val="000274DB"/>
    <w:rsid w:val="000370FC"/>
    <w:rsid w:val="0003747A"/>
    <w:rsid w:val="00043BB6"/>
    <w:rsid w:val="00045F34"/>
    <w:rsid w:val="000461DA"/>
    <w:rsid w:val="0005304D"/>
    <w:rsid w:val="00062741"/>
    <w:rsid w:val="00065379"/>
    <w:rsid w:val="000736C7"/>
    <w:rsid w:val="000764A3"/>
    <w:rsid w:val="000838D6"/>
    <w:rsid w:val="00087BE2"/>
    <w:rsid w:val="00096C4F"/>
    <w:rsid w:val="000A1C7B"/>
    <w:rsid w:val="000A6C5E"/>
    <w:rsid w:val="000B1F5E"/>
    <w:rsid w:val="000B412B"/>
    <w:rsid w:val="000B48C7"/>
    <w:rsid w:val="000B7AFB"/>
    <w:rsid w:val="000C185F"/>
    <w:rsid w:val="000C3B29"/>
    <w:rsid w:val="000C4BD1"/>
    <w:rsid w:val="000D529D"/>
    <w:rsid w:val="000D6F9C"/>
    <w:rsid w:val="000D7EB3"/>
    <w:rsid w:val="000E4D16"/>
    <w:rsid w:val="000E5BED"/>
    <w:rsid w:val="000E5DE8"/>
    <w:rsid w:val="000E64C5"/>
    <w:rsid w:val="0010101F"/>
    <w:rsid w:val="00102377"/>
    <w:rsid w:val="001039C8"/>
    <w:rsid w:val="00104B4C"/>
    <w:rsid w:val="0010636E"/>
    <w:rsid w:val="001068D1"/>
    <w:rsid w:val="0011273A"/>
    <w:rsid w:val="00112BF3"/>
    <w:rsid w:val="00114136"/>
    <w:rsid w:val="001149E7"/>
    <w:rsid w:val="00121411"/>
    <w:rsid w:val="00124536"/>
    <w:rsid w:val="00124FE5"/>
    <w:rsid w:val="00125437"/>
    <w:rsid w:val="0012642B"/>
    <w:rsid w:val="00126744"/>
    <w:rsid w:val="00127093"/>
    <w:rsid w:val="001270F0"/>
    <w:rsid w:val="00133118"/>
    <w:rsid w:val="00142486"/>
    <w:rsid w:val="00153734"/>
    <w:rsid w:val="001551C9"/>
    <w:rsid w:val="001670E2"/>
    <w:rsid w:val="00167831"/>
    <w:rsid w:val="00167EFD"/>
    <w:rsid w:val="001709D4"/>
    <w:rsid w:val="0017629C"/>
    <w:rsid w:val="00182AED"/>
    <w:rsid w:val="00184194"/>
    <w:rsid w:val="00185FAE"/>
    <w:rsid w:val="00190F13"/>
    <w:rsid w:val="001A0D76"/>
    <w:rsid w:val="001A0DD5"/>
    <w:rsid w:val="001A1283"/>
    <w:rsid w:val="001A2299"/>
    <w:rsid w:val="001A2E60"/>
    <w:rsid w:val="001A3A9C"/>
    <w:rsid w:val="001A4486"/>
    <w:rsid w:val="001A47B7"/>
    <w:rsid w:val="001A5034"/>
    <w:rsid w:val="001A644D"/>
    <w:rsid w:val="001A6646"/>
    <w:rsid w:val="001B0FE3"/>
    <w:rsid w:val="001B573C"/>
    <w:rsid w:val="001C119C"/>
    <w:rsid w:val="001C512E"/>
    <w:rsid w:val="001C55AA"/>
    <w:rsid w:val="001D0051"/>
    <w:rsid w:val="001D33C3"/>
    <w:rsid w:val="001D6FF2"/>
    <w:rsid w:val="001E377D"/>
    <w:rsid w:val="001F0BFE"/>
    <w:rsid w:val="001F10C7"/>
    <w:rsid w:val="001F18D2"/>
    <w:rsid w:val="001F5AE0"/>
    <w:rsid w:val="00205DE4"/>
    <w:rsid w:val="0020606B"/>
    <w:rsid w:val="00207E5D"/>
    <w:rsid w:val="00211386"/>
    <w:rsid w:val="002126A4"/>
    <w:rsid w:val="002130E9"/>
    <w:rsid w:val="00215556"/>
    <w:rsid w:val="00215B94"/>
    <w:rsid w:val="00216DAF"/>
    <w:rsid w:val="00221798"/>
    <w:rsid w:val="00222C92"/>
    <w:rsid w:val="00223747"/>
    <w:rsid w:val="00224B23"/>
    <w:rsid w:val="002252F4"/>
    <w:rsid w:val="00226DFD"/>
    <w:rsid w:val="002273CD"/>
    <w:rsid w:val="00231B21"/>
    <w:rsid w:val="00232F24"/>
    <w:rsid w:val="00232F27"/>
    <w:rsid w:val="002363B8"/>
    <w:rsid w:val="002443F1"/>
    <w:rsid w:val="002454AC"/>
    <w:rsid w:val="002455EE"/>
    <w:rsid w:val="00252653"/>
    <w:rsid w:val="002551DF"/>
    <w:rsid w:val="002628B1"/>
    <w:rsid w:val="00265013"/>
    <w:rsid w:val="002665D9"/>
    <w:rsid w:val="002720BA"/>
    <w:rsid w:val="00272D6E"/>
    <w:rsid w:val="00274F6B"/>
    <w:rsid w:val="0027658C"/>
    <w:rsid w:val="002770C4"/>
    <w:rsid w:val="00277927"/>
    <w:rsid w:val="002808FB"/>
    <w:rsid w:val="00281FFD"/>
    <w:rsid w:val="00284027"/>
    <w:rsid w:val="0028680D"/>
    <w:rsid w:val="00286CD7"/>
    <w:rsid w:val="0028732F"/>
    <w:rsid w:val="002906BA"/>
    <w:rsid w:val="00293FD2"/>
    <w:rsid w:val="002A1C15"/>
    <w:rsid w:val="002A3EBC"/>
    <w:rsid w:val="002A3F50"/>
    <w:rsid w:val="002A6180"/>
    <w:rsid w:val="002B09BD"/>
    <w:rsid w:val="002B0B27"/>
    <w:rsid w:val="002B1279"/>
    <w:rsid w:val="002B1695"/>
    <w:rsid w:val="002B6190"/>
    <w:rsid w:val="002C0FC3"/>
    <w:rsid w:val="002C1B6C"/>
    <w:rsid w:val="002C37B1"/>
    <w:rsid w:val="002C4818"/>
    <w:rsid w:val="002C6F97"/>
    <w:rsid w:val="002D18DB"/>
    <w:rsid w:val="002D32E9"/>
    <w:rsid w:val="002D4F14"/>
    <w:rsid w:val="002D4FBB"/>
    <w:rsid w:val="002E073C"/>
    <w:rsid w:val="002E6C39"/>
    <w:rsid w:val="002F0508"/>
    <w:rsid w:val="002F0CE9"/>
    <w:rsid w:val="002F0DA1"/>
    <w:rsid w:val="002F2A07"/>
    <w:rsid w:val="003023A4"/>
    <w:rsid w:val="00304E80"/>
    <w:rsid w:val="00306DD4"/>
    <w:rsid w:val="00307D4B"/>
    <w:rsid w:val="00313248"/>
    <w:rsid w:val="003137BB"/>
    <w:rsid w:val="003154B5"/>
    <w:rsid w:val="0031797D"/>
    <w:rsid w:val="00321632"/>
    <w:rsid w:val="00321E12"/>
    <w:rsid w:val="00322EDB"/>
    <w:rsid w:val="0032611C"/>
    <w:rsid w:val="0032779A"/>
    <w:rsid w:val="00327F94"/>
    <w:rsid w:val="00337D32"/>
    <w:rsid w:val="00341348"/>
    <w:rsid w:val="003419E4"/>
    <w:rsid w:val="00347EAB"/>
    <w:rsid w:val="003510C7"/>
    <w:rsid w:val="0035778E"/>
    <w:rsid w:val="00362F41"/>
    <w:rsid w:val="00370193"/>
    <w:rsid w:val="00372309"/>
    <w:rsid w:val="00372B65"/>
    <w:rsid w:val="00374475"/>
    <w:rsid w:val="0038033A"/>
    <w:rsid w:val="00386B8B"/>
    <w:rsid w:val="00386C5E"/>
    <w:rsid w:val="0038739C"/>
    <w:rsid w:val="00391EED"/>
    <w:rsid w:val="00395214"/>
    <w:rsid w:val="00396548"/>
    <w:rsid w:val="00396C2A"/>
    <w:rsid w:val="003A0619"/>
    <w:rsid w:val="003A0CFB"/>
    <w:rsid w:val="003A7298"/>
    <w:rsid w:val="003B4394"/>
    <w:rsid w:val="003B4EB3"/>
    <w:rsid w:val="003B5EAC"/>
    <w:rsid w:val="003C5C7E"/>
    <w:rsid w:val="003C68AB"/>
    <w:rsid w:val="003D0A0F"/>
    <w:rsid w:val="003D0BA6"/>
    <w:rsid w:val="003D3EC6"/>
    <w:rsid w:val="003D6958"/>
    <w:rsid w:val="003E031F"/>
    <w:rsid w:val="003E1DEB"/>
    <w:rsid w:val="003E39DB"/>
    <w:rsid w:val="003E546B"/>
    <w:rsid w:val="003E6732"/>
    <w:rsid w:val="003F0AA2"/>
    <w:rsid w:val="003F1370"/>
    <w:rsid w:val="003F1D51"/>
    <w:rsid w:val="003F7C8C"/>
    <w:rsid w:val="004015E8"/>
    <w:rsid w:val="0040324D"/>
    <w:rsid w:val="00420E5F"/>
    <w:rsid w:val="00421AF9"/>
    <w:rsid w:val="004224EB"/>
    <w:rsid w:val="00425B9C"/>
    <w:rsid w:val="0044124B"/>
    <w:rsid w:val="00445FB3"/>
    <w:rsid w:val="004541E9"/>
    <w:rsid w:val="0045550C"/>
    <w:rsid w:val="00455B9F"/>
    <w:rsid w:val="00467C67"/>
    <w:rsid w:val="004705AC"/>
    <w:rsid w:val="00471031"/>
    <w:rsid w:val="004714FE"/>
    <w:rsid w:val="004724CF"/>
    <w:rsid w:val="00472FFB"/>
    <w:rsid w:val="00473074"/>
    <w:rsid w:val="00473358"/>
    <w:rsid w:val="00483EC2"/>
    <w:rsid w:val="00484F3D"/>
    <w:rsid w:val="0049179D"/>
    <w:rsid w:val="00493290"/>
    <w:rsid w:val="004A2035"/>
    <w:rsid w:val="004A289A"/>
    <w:rsid w:val="004A40D8"/>
    <w:rsid w:val="004B1CDA"/>
    <w:rsid w:val="004B27A6"/>
    <w:rsid w:val="004B2D48"/>
    <w:rsid w:val="004B5B7B"/>
    <w:rsid w:val="004B6E17"/>
    <w:rsid w:val="004B7487"/>
    <w:rsid w:val="004C0D9C"/>
    <w:rsid w:val="004C2879"/>
    <w:rsid w:val="004C78E6"/>
    <w:rsid w:val="004D0A0C"/>
    <w:rsid w:val="004D35EF"/>
    <w:rsid w:val="004D3862"/>
    <w:rsid w:val="004D4184"/>
    <w:rsid w:val="004D51D6"/>
    <w:rsid w:val="004E417A"/>
    <w:rsid w:val="004F544E"/>
    <w:rsid w:val="004F5714"/>
    <w:rsid w:val="0050112E"/>
    <w:rsid w:val="00505B18"/>
    <w:rsid w:val="005063FC"/>
    <w:rsid w:val="005102CA"/>
    <w:rsid w:val="00512C3E"/>
    <w:rsid w:val="00514367"/>
    <w:rsid w:val="005155DC"/>
    <w:rsid w:val="00515F17"/>
    <w:rsid w:val="00520015"/>
    <w:rsid w:val="005317EC"/>
    <w:rsid w:val="00533D48"/>
    <w:rsid w:val="00535A2C"/>
    <w:rsid w:val="00544E93"/>
    <w:rsid w:val="00547F18"/>
    <w:rsid w:val="00552AED"/>
    <w:rsid w:val="005554FA"/>
    <w:rsid w:val="00562A94"/>
    <w:rsid w:val="00564600"/>
    <w:rsid w:val="00565628"/>
    <w:rsid w:val="00565708"/>
    <w:rsid w:val="00566EF4"/>
    <w:rsid w:val="00567AD8"/>
    <w:rsid w:val="00571B9D"/>
    <w:rsid w:val="00571ED9"/>
    <w:rsid w:val="0057507D"/>
    <w:rsid w:val="005753CB"/>
    <w:rsid w:val="005757EA"/>
    <w:rsid w:val="005827CC"/>
    <w:rsid w:val="00587A34"/>
    <w:rsid w:val="0059008B"/>
    <w:rsid w:val="00590775"/>
    <w:rsid w:val="00591C98"/>
    <w:rsid w:val="0059437D"/>
    <w:rsid w:val="00595359"/>
    <w:rsid w:val="005A15B3"/>
    <w:rsid w:val="005A517E"/>
    <w:rsid w:val="005B4F92"/>
    <w:rsid w:val="005B53B4"/>
    <w:rsid w:val="005B79A9"/>
    <w:rsid w:val="005C174A"/>
    <w:rsid w:val="005C178D"/>
    <w:rsid w:val="005C23E0"/>
    <w:rsid w:val="005C24D5"/>
    <w:rsid w:val="005D3BD2"/>
    <w:rsid w:val="005D567B"/>
    <w:rsid w:val="005D5BFA"/>
    <w:rsid w:val="005D69EF"/>
    <w:rsid w:val="005E3ABD"/>
    <w:rsid w:val="005E58C9"/>
    <w:rsid w:val="005F0842"/>
    <w:rsid w:val="005F323F"/>
    <w:rsid w:val="005F50B3"/>
    <w:rsid w:val="005F6715"/>
    <w:rsid w:val="00600EBB"/>
    <w:rsid w:val="006022C8"/>
    <w:rsid w:val="0060518B"/>
    <w:rsid w:val="006053A9"/>
    <w:rsid w:val="00610332"/>
    <w:rsid w:val="006115A5"/>
    <w:rsid w:val="00614825"/>
    <w:rsid w:val="006158D1"/>
    <w:rsid w:val="00630E02"/>
    <w:rsid w:val="00632832"/>
    <w:rsid w:val="00633ADD"/>
    <w:rsid w:val="00636ED5"/>
    <w:rsid w:val="00640AB1"/>
    <w:rsid w:val="00645CF6"/>
    <w:rsid w:val="0065289A"/>
    <w:rsid w:val="00653B4D"/>
    <w:rsid w:val="0065530B"/>
    <w:rsid w:val="00655345"/>
    <w:rsid w:val="00655865"/>
    <w:rsid w:val="00656B0E"/>
    <w:rsid w:val="00665BFC"/>
    <w:rsid w:val="006715EB"/>
    <w:rsid w:val="006740C7"/>
    <w:rsid w:val="006746FF"/>
    <w:rsid w:val="00677598"/>
    <w:rsid w:val="00680225"/>
    <w:rsid w:val="00681302"/>
    <w:rsid w:val="00681D60"/>
    <w:rsid w:val="00683559"/>
    <w:rsid w:val="00683876"/>
    <w:rsid w:val="0068390C"/>
    <w:rsid w:val="00690286"/>
    <w:rsid w:val="00694040"/>
    <w:rsid w:val="0069404C"/>
    <w:rsid w:val="00694A42"/>
    <w:rsid w:val="006952AF"/>
    <w:rsid w:val="006A2666"/>
    <w:rsid w:val="006A4D65"/>
    <w:rsid w:val="006A6A6D"/>
    <w:rsid w:val="006B4117"/>
    <w:rsid w:val="006B43E9"/>
    <w:rsid w:val="006B760F"/>
    <w:rsid w:val="006C0274"/>
    <w:rsid w:val="006C1F87"/>
    <w:rsid w:val="006C3259"/>
    <w:rsid w:val="006C4431"/>
    <w:rsid w:val="006C4A23"/>
    <w:rsid w:val="006C7C19"/>
    <w:rsid w:val="006D0FFB"/>
    <w:rsid w:val="006D1B9F"/>
    <w:rsid w:val="006D49AB"/>
    <w:rsid w:val="006D5BB3"/>
    <w:rsid w:val="006E0CBB"/>
    <w:rsid w:val="006F4423"/>
    <w:rsid w:val="006F48BF"/>
    <w:rsid w:val="00703B88"/>
    <w:rsid w:val="00707BC6"/>
    <w:rsid w:val="00707EFA"/>
    <w:rsid w:val="00711AB7"/>
    <w:rsid w:val="00721D04"/>
    <w:rsid w:val="00723A2B"/>
    <w:rsid w:val="00735738"/>
    <w:rsid w:val="007367EA"/>
    <w:rsid w:val="0074131E"/>
    <w:rsid w:val="00741F57"/>
    <w:rsid w:val="00742368"/>
    <w:rsid w:val="00742F01"/>
    <w:rsid w:val="00743538"/>
    <w:rsid w:val="00747ED2"/>
    <w:rsid w:val="007522F9"/>
    <w:rsid w:val="0076119F"/>
    <w:rsid w:val="0076359E"/>
    <w:rsid w:val="007635B9"/>
    <w:rsid w:val="0077153C"/>
    <w:rsid w:val="007727BE"/>
    <w:rsid w:val="007734BE"/>
    <w:rsid w:val="007737B2"/>
    <w:rsid w:val="00790B86"/>
    <w:rsid w:val="0079197A"/>
    <w:rsid w:val="00791C79"/>
    <w:rsid w:val="00792EF2"/>
    <w:rsid w:val="00793E0C"/>
    <w:rsid w:val="007A354B"/>
    <w:rsid w:val="007A52B5"/>
    <w:rsid w:val="007A5800"/>
    <w:rsid w:val="007B4CEF"/>
    <w:rsid w:val="007C7C8D"/>
    <w:rsid w:val="007D1A0E"/>
    <w:rsid w:val="007D21AF"/>
    <w:rsid w:val="007D387F"/>
    <w:rsid w:val="007D6524"/>
    <w:rsid w:val="007E0276"/>
    <w:rsid w:val="007E1702"/>
    <w:rsid w:val="007E1A22"/>
    <w:rsid w:val="007E31DE"/>
    <w:rsid w:val="007E7B72"/>
    <w:rsid w:val="007F033E"/>
    <w:rsid w:val="007F2007"/>
    <w:rsid w:val="007F7CF2"/>
    <w:rsid w:val="00807FB1"/>
    <w:rsid w:val="008115FE"/>
    <w:rsid w:val="00812BD9"/>
    <w:rsid w:val="0082255B"/>
    <w:rsid w:val="008225B3"/>
    <w:rsid w:val="00822C39"/>
    <w:rsid w:val="00823052"/>
    <w:rsid w:val="008309CD"/>
    <w:rsid w:val="008322AD"/>
    <w:rsid w:val="00832D58"/>
    <w:rsid w:val="008337AB"/>
    <w:rsid w:val="00836430"/>
    <w:rsid w:val="0084267D"/>
    <w:rsid w:val="00842888"/>
    <w:rsid w:val="00844994"/>
    <w:rsid w:val="00852AF5"/>
    <w:rsid w:val="00852B1A"/>
    <w:rsid w:val="00853F68"/>
    <w:rsid w:val="00863E17"/>
    <w:rsid w:val="00864814"/>
    <w:rsid w:val="008705E8"/>
    <w:rsid w:val="00870819"/>
    <w:rsid w:val="008757E2"/>
    <w:rsid w:val="0088139B"/>
    <w:rsid w:val="00883E0B"/>
    <w:rsid w:val="00887FE6"/>
    <w:rsid w:val="008908EA"/>
    <w:rsid w:val="008925BC"/>
    <w:rsid w:val="0089569C"/>
    <w:rsid w:val="00896723"/>
    <w:rsid w:val="008A2E12"/>
    <w:rsid w:val="008A2FDB"/>
    <w:rsid w:val="008A728B"/>
    <w:rsid w:val="008B3963"/>
    <w:rsid w:val="008B7021"/>
    <w:rsid w:val="008C0451"/>
    <w:rsid w:val="008C3795"/>
    <w:rsid w:val="008C3CBD"/>
    <w:rsid w:val="008D3036"/>
    <w:rsid w:val="008D565C"/>
    <w:rsid w:val="008D6EC2"/>
    <w:rsid w:val="008E09EB"/>
    <w:rsid w:val="008E4B9C"/>
    <w:rsid w:val="008E7405"/>
    <w:rsid w:val="008E770D"/>
    <w:rsid w:val="008E78B7"/>
    <w:rsid w:val="008F1118"/>
    <w:rsid w:val="008F35FB"/>
    <w:rsid w:val="008F37F8"/>
    <w:rsid w:val="008F607F"/>
    <w:rsid w:val="008F6F02"/>
    <w:rsid w:val="0090086C"/>
    <w:rsid w:val="00900B86"/>
    <w:rsid w:val="00904A32"/>
    <w:rsid w:val="00904FE6"/>
    <w:rsid w:val="00916DA2"/>
    <w:rsid w:val="00922E29"/>
    <w:rsid w:val="009253D2"/>
    <w:rsid w:val="00926F01"/>
    <w:rsid w:val="00932A44"/>
    <w:rsid w:val="00937541"/>
    <w:rsid w:val="00937FEE"/>
    <w:rsid w:val="009428A4"/>
    <w:rsid w:val="00944894"/>
    <w:rsid w:val="00947002"/>
    <w:rsid w:val="00950D3B"/>
    <w:rsid w:val="00952009"/>
    <w:rsid w:val="009538BB"/>
    <w:rsid w:val="009579D9"/>
    <w:rsid w:val="00961D03"/>
    <w:rsid w:val="00963B87"/>
    <w:rsid w:val="009643CC"/>
    <w:rsid w:val="0097392E"/>
    <w:rsid w:val="009803BC"/>
    <w:rsid w:val="009805DB"/>
    <w:rsid w:val="0098134C"/>
    <w:rsid w:val="009827C8"/>
    <w:rsid w:val="009833B3"/>
    <w:rsid w:val="00984316"/>
    <w:rsid w:val="00985305"/>
    <w:rsid w:val="0099075B"/>
    <w:rsid w:val="009A1815"/>
    <w:rsid w:val="009A21CC"/>
    <w:rsid w:val="009B0D38"/>
    <w:rsid w:val="009B155E"/>
    <w:rsid w:val="009B20CE"/>
    <w:rsid w:val="009B4B0C"/>
    <w:rsid w:val="009B57A7"/>
    <w:rsid w:val="009B6E31"/>
    <w:rsid w:val="009C3AA8"/>
    <w:rsid w:val="009C79F6"/>
    <w:rsid w:val="009D07BA"/>
    <w:rsid w:val="009D0DB9"/>
    <w:rsid w:val="009D195F"/>
    <w:rsid w:val="009D294E"/>
    <w:rsid w:val="009D3382"/>
    <w:rsid w:val="009D5006"/>
    <w:rsid w:val="009D6DE0"/>
    <w:rsid w:val="009D7C0C"/>
    <w:rsid w:val="009D7FC0"/>
    <w:rsid w:val="009E119F"/>
    <w:rsid w:val="009E1897"/>
    <w:rsid w:val="009E2055"/>
    <w:rsid w:val="009E3D86"/>
    <w:rsid w:val="009E4691"/>
    <w:rsid w:val="009F1343"/>
    <w:rsid w:val="009F76B8"/>
    <w:rsid w:val="00A0114A"/>
    <w:rsid w:val="00A016E7"/>
    <w:rsid w:val="00A07FBA"/>
    <w:rsid w:val="00A12ECA"/>
    <w:rsid w:val="00A21E2F"/>
    <w:rsid w:val="00A32BB9"/>
    <w:rsid w:val="00A344CA"/>
    <w:rsid w:val="00A353CA"/>
    <w:rsid w:val="00A52640"/>
    <w:rsid w:val="00A54627"/>
    <w:rsid w:val="00A60F1F"/>
    <w:rsid w:val="00A6116A"/>
    <w:rsid w:val="00A64D64"/>
    <w:rsid w:val="00A7313D"/>
    <w:rsid w:val="00A76A8B"/>
    <w:rsid w:val="00A800D2"/>
    <w:rsid w:val="00A80403"/>
    <w:rsid w:val="00A804FF"/>
    <w:rsid w:val="00A82F57"/>
    <w:rsid w:val="00A85A44"/>
    <w:rsid w:val="00A97386"/>
    <w:rsid w:val="00AA0D8D"/>
    <w:rsid w:val="00AA38EF"/>
    <w:rsid w:val="00AA544F"/>
    <w:rsid w:val="00AA5C8F"/>
    <w:rsid w:val="00AB03BB"/>
    <w:rsid w:val="00AB04E9"/>
    <w:rsid w:val="00AB0721"/>
    <w:rsid w:val="00AB4955"/>
    <w:rsid w:val="00AB497F"/>
    <w:rsid w:val="00AB52F0"/>
    <w:rsid w:val="00AC2C06"/>
    <w:rsid w:val="00AC3911"/>
    <w:rsid w:val="00AC59F5"/>
    <w:rsid w:val="00AD3A46"/>
    <w:rsid w:val="00AD47D3"/>
    <w:rsid w:val="00AE68BB"/>
    <w:rsid w:val="00AE7989"/>
    <w:rsid w:val="00AE7CEC"/>
    <w:rsid w:val="00AF0E63"/>
    <w:rsid w:val="00AF639C"/>
    <w:rsid w:val="00AF6735"/>
    <w:rsid w:val="00AF705F"/>
    <w:rsid w:val="00AF7082"/>
    <w:rsid w:val="00B01809"/>
    <w:rsid w:val="00B019FC"/>
    <w:rsid w:val="00B025D3"/>
    <w:rsid w:val="00B14B63"/>
    <w:rsid w:val="00B15EBC"/>
    <w:rsid w:val="00B1626F"/>
    <w:rsid w:val="00B2165A"/>
    <w:rsid w:val="00B21AE8"/>
    <w:rsid w:val="00B22C66"/>
    <w:rsid w:val="00B2318D"/>
    <w:rsid w:val="00B234D7"/>
    <w:rsid w:val="00B269D1"/>
    <w:rsid w:val="00B27989"/>
    <w:rsid w:val="00B31E20"/>
    <w:rsid w:val="00B33280"/>
    <w:rsid w:val="00B33336"/>
    <w:rsid w:val="00B33988"/>
    <w:rsid w:val="00B407F4"/>
    <w:rsid w:val="00B4128C"/>
    <w:rsid w:val="00B51024"/>
    <w:rsid w:val="00B52727"/>
    <w:rsid w:val="00B5483F"/>
    <w:rsid w:val="00B57D91"/>
    <w:rsid w:val="00B610A6"/>
    <w:rsid w:val="00B6206F"/>
    <w:rsid w:val="00B64971"/>
    <w:rsid w:val="00B675D9"/>
    <w:rsid w:val="00B72249"/>
    <w:rsid w:val="00B85DA6"/>
    <w:rsid w:val="00B86F44"/>
    <w:rsid w:val="00B870B9"/>
    <w:rsid w:val="00B90780"/>
    <w:rsid w:val="00B95D27"/>
    <w:rsid w:val="00B96DA4"/>
    <w:rsid w:val="00BA41FB"/>
    <w:rsid w:val="00BA5336"/>
    <w:rsid w:val="00BA537A"/>
    <w:rsid w:val="00BA69F1"/>
    <w:rsid w:val="00BA760B"/>
    <w:rsid w:val="00BA7E8C"/>
    <w:rsid w:val="00BB0866"/>
    <w:rsid w:val="00BB14F5"/>
    <w:rsid w:val="00BC28CF"/>
    <w:rsid w:val="00BC49DA"/>
    <w:rsid w:val="00BC619E"/>
    <w:rsid w:val="00BD0C93"/>
    <w:rsid w:val="00BD1BBC"/>
    <w:rsid w:val="00BD61CD"/>
    <w:rsid w:val="00BE7ACA"/>
    <w:rsid w:val="00BF2626"/>
    <w:rsid w:val="00BF4072"/>
    <w:rsid w:val="00BF5A75"/>
    <w:rsid w:val="00BF5C1C"/>
    <w:rsid w:val="00BF659A"/>
    <w:rsid w:val="00BF73C7"/>
    <w:rsid w:val="00BF7E77"/>
    <w:rsid w:val="00C024AE"/>
    <w:rsid w:val="00C063B0"/>
    <w:rsid w:val="00C1008A"/>
    <w:rsid w:val="00C13F0D"/>
    <w:rsid w:val="00C15B17"/>
    <w:rsid w:val="00C20653"/>
    <w:rsid w:val="00C22CA9"/>
    <w:rsid w:val="00C25B87"/>
    <w:rsid w:val="00C330A2"/>
    <w:rsid w:val="00C36D17"/>
    <w:rsid w:val="00C42AC8"/>
    <w:rsid w:val="00C4374E"/>
    <w:rsid w:val="00C44544"/>
    <w:rsid w:val="00C460A4"/>
    <w:rsid w:val="00C4736C"/>
    <w:rsid w:val="00C55407"/>
    <w:rsid w:val="00C61E8A"/>
    <w:rsid w:val="00C62809"/>
    <w:rsid w:val="00C65FCE"/>
    <w:rsid w:val="00C73D19"/>
    <w:rsid w:val="00C74580"/>
    <w:rsid w:val="00C8211A"/>
    <w:rsid w:val="00C82D8C"/>
    <w:rsid w:val="00C83091"/>
    <w:rsid w:val="00C84F2F"/>
    <w:rsid w:val="00C914B4"/>
    <w:rsid w:val="00C945BD"/>
    <w:rsid w:val="00C950F2"/>
    <w:rsid w:val="00CA176E"/>
    <w:rsid w:val="00CA2B5B"/>
    <w:rsid w:val="00CB2A4F"/>
    <w:rsid w:val="00CB6B82"/>
    <w:rsid w:val="00CC1E0D"/>
    <w:rsid w:val="00CC5F29"/>
    <w:rsid w:val="00CC6D86"/>
    <w:rsid w:val="00CC798F"/>
    <w:rsid w:val="00CD21B4"/>
    <w:rsid w:val="00CD2A44"/>
    <w:rsid w:val="00CE0380"/>
    <w:rsid w:val="00CE27DC"/>
    <w:rsid w:val="00CE2EDD"/>
    <w:rsid w:val="00CE5037"/>
    <w:rsid w:val="00CE70BB"/>
    <w:rsid w:val="00CE79DA"/>
    <w:rsid w:val="00CF0A3E"/>
    <w:rsid w:val="00CF134E"/>
    <w:rsid w:val="00CF3E14"/>
    <w:rsid w:val="00CF5A83"/>
    <w:rsid w:val="00D0064A"/>
    <w:rsid w:val="00D02BB1"/>
    <w:rsid w:val="00D06D9A"/>
    <w:rsid w:val="00D119FD"/>
    <w:rsid w:val="00D11BC2"/>
    <w:rsid w:val="00D132F4"/>
    <w:rsid w:val="00D14BF2"/>
    <w:rsid w:val="00D14CB5"/>
    <w:rsid w:val="00D15B8A"/>
    <w:rsid w:val="00D233E9"/>
    <w:rsid w:val="00D23B41"/>
    <w:rsid w:val="00D346C2"/>
    <w:rsid w:val="00D420AF"/>
    <w:rsid w:val="00D4222B"/>
    <w:rsid w:val="00D50598"/>
    <w:rsid w:val="00D50697"/>
    <w:rsid w:val="00D52D83"/>
    <w:rsid w:val="00D5310E"/>
    <w:rsid w:val="00D54B4C"/>
    <w:rsid w:val="00D56A23"/>
    <w:rsid w:val="00D60001"/>
    <w:rsid w:val="00D60CBE"/>
    <w:rsid w:val="00D61A35"/>
    <w:rsid w:val="00D61C84"/>
    <w:rsid w:val="00D62244"/>
    <w:rsid w:val="00D6797F"/>
    <w:rsid w:val="00D70689"/>
    <w:rsid w:val="00D732B1"/>
    <w:rsid w:val="00D733C9"/>
    <w:rsid w:val="00D772AC"/>
    <w:rsid w:val="00D835C1"/>
    <w:rsid w:val="00D934A9"/>
    <w:rsid w:val="00DA1568"/>
    <w:rsid w:val="00DA156D"/>
    <w:rsid w:val="00DA53C1"/>
    <w:rsid w:val="00DB1636"/>
    <w:rsid w:val="00DB268A"/>
    <w:rsid w:val="00DB4EDF"/>
    <w:rsid w:val="00DB63FD"/>
    <w:rsid w:val="00DC02E2"/>
    <w:rsid w:val="00DC0E45"/>
    <w:rsid w:val="00DC104B"/>
    <w:rsid w:val="00DC165B"/>
    <w:rsid w:val="00DC3C67"/>
    <w:rsid w:val="00DC69A2"/>
    <w:rsid w:val="00DC7805"/>
    <w:rsid w:val="00DD1699"/>
    <w:rsid w:val="00DD438E"/>
    <w:rsid w:val="00DD4C35"/>
    <w:rsid w:val="00DD7A37"/>
    <w:rsid w:val="00DD7EB6"/>
    <w:rsid w:val="00DE1D4F"/>
    <w:rsid w:val="00DE73E6"/>
    <w:rsid w:val="00DE7A13"/>
    <w:rsid w:val="00DF081C"/>
    <w:rsid w:val="00E0039C"/>
    <w:rsid w:val="00E00E8F"/>
    <w:rsid w:val="00E015D6"/>
    <w:rsid w:val="00E0240D"/>
    <w:rsid w:val="00E027A1"/>
    <w:rsid w:val="00E04D90"/>
    <w:rsid w:val="00E05B42"/>
    <w:rsid w:val="00E06E2C"/>
    <w:rsid w:val="00E10FEA"/>
    <w:rsid w:val="00E13857"/>
    <w:rsid w:val="00E161A4"/>
    <w:rsid w:val="00E22604"/>
    <w:rsid w:val="00E24CD8"/>
    <w:rsid w:val="00E24D9D"/>
    <w:rsid w:val="00E306B3"/>
    <w:rsid w:val="00E31E15"/>
    <w:rsid w:val="00E4548C"/>
    <w:rsid w:val="00E45FE5"/>
    <w:rsid w:val="00E513AA"/>
    <w:rsid w:val="00E51BD5"/>
    <w:rsid w:val="00E5506C"/>
    <w:rsid w:val="00E56A9C"/>
    <w:rsid w:val="00E56E07"/>
    <w:rsid w:val="00E576B5"/>
    <w:rsid w:val="00E60069"/>
    <w:rsid w:val="00E62BB6"/>
    <w:rsid w:val="00E67A14"/>
    <w:rsid w:val="00E67C6E"/>
    <w:rsid w:val="00E70C01"/>
    <w:rsid w:val="00E7487B"/>
    <w:rsid w:val="00E75E05"/>
    <w:rsid w:val="00E808E0"/>
    <w:rsid w:val="00E846E5"/>
    <w:rsid w:val="00E84EDE"/>
    <w:rsid w:val="00E858C7"/>
    <w:rsid w:val="00E86CF7"/>
    <w:rsid w:val="00E93972"/>
    <w:rsid w:val="00E973A1"/>
    <w:rsid w:val="00EA1465"/>
    <w:rsid w:val="00EA3BE0"/>
    <w:rsid w:val="00EA4A4A"/>
    <w:rsid w:val="00EA5854"/>
    <w:rsid w:val="00EA6859"/>
    <w:rsid w:val="00EB59BB"/>
    <w:rsid w:val="00EB670F"/>
    <w:rsid w:val="00EC146D"/>
    <w:rsid w:val="00EC6912"/>
    <w:rsid w:val="00EE0C95"/>
    <w:rsid w:val="00EE16A9"/>
    <w:rsid w:val="00EF3981"/>
    <w:rsid w:val="00F06800"/>
    <w:rsid w:val="00F10B9A"/>
    <w:rsid w:val="00F137A9"/>
    <w:rsid w:val="00F170E7"/>
    <w:rsid w:val="00F217BF"/>
    <w:rsid w:val="00F3127C"/>
    <w:rsid w:val="00F34F86"/>
    <w:rsid w:val="00F35DCD"/>
    <w:rsid w:val="00F367D6"/>
    <w:rsid w:val="00F41D80"/>
    <w:rsid w:val="00F44921"/>
    <w:rsid w:val="00F47CFC"/>
    <w:rsid w:val="00F508FA"/>
    <w:rsid w:val="00F52557"/>
    <w:rsid w:val="00F52DE8"/>
    <w:rsid w:val="00F53353"/>
    <w:rsid w:val="00F559BF"/>
    <w:rsid w:val="00F627C9"/>
    <w:rsid w:val="00F6587C"/>
    <w:rsid w:val="00F65D04"/>
    <w:rsid w:val="00F71501"/>
    <w:rsid w:val="00F721CF"/>
    <w:rsid w:val="00F816A5"/>
    <w:rsid w:val="00F81C81"/>
    <w:rsid w:val="00F84F52"/>
    <w:rsid w:val="00F8735E"/>
    <w:rsid w:val="00F90BB5"/>
    <w:rsid w:val="00F91C8E"/>
    <w:rsid w:val="00F96AC0"/>
    <w:rsid w:val="00F96EAF"/>
    <w:rsid w:val="00F97CED"/>
    <w:rsid w:val="00FA35AE"/>
    <w:rsid w:val="00FA3F6D"/>
    <w:rsid w:val="00FA5C80"/>
    <w:rsid w:val="00FA6237"/>
    <w:rsid w:val="00FB40AB"/>
    <w:rsid w:val="00FB43DB"/>
    <w:rsid w:val="00FB592C"/>
    <w:rsid w:val="00FB5D89"/>
    <w:rsid w:val="00FB6EA4"/>
    <w:rsid w:val="00FC57E8"/>
    <w:rsid w:val="00FC6147"/>
    <w:rsid w:val="00FC7EB7"/>
    <w:rsid w:val="00FD79C0"/>
    <w:rsid w:val="00FE087E"/>
    <w:rsid w:val="00FE0E1C"/>
    <w:rsid w:val="00FE5310"/>
    <w:rsid w:val="00FE64E0"/>
    <w:rsid w:val="00FF746A"/>
    <w:rsid w:val="22934344"/>
    <w:rsid w:val="74EF5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29"/>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uiPriority w:val="0"/>
    <w:pPr>
      <w:ind w:firstLine="0"/>
    </w:pPr>
    <w:rPr>
      <w:rFonts w:ascii="宋体" w:hAnsi="Courier New" w:eastAsia="宋体" w:cs="Times New Roman"/>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uiPriority w:val="0"/>
    <w:rPr>
      <w:rFonts w:ascii="宋体" w:hAnsi="Courier New" w:eastAsia="宋体" w:cs="Times New Roman"/>
      <w:szCs w:val="20"/>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1505</Words>
  <Characters>1510</Characters>
  <Lines>10</Lines>
  <Paragraphs>3</Paragraphs>
  <TotalTime>12</TotalTime>
  <ScaleCrop>false</ScaleCrop>
  <LinksUpToDate>false</LinksUpToDate>
  <CharactersWithSpaces>1510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2019-09-11T07:05:00Z</dcterms:created>
  <dc:creator>王伟</dc:creator>
  <cp:lastModifiedBy>张艳</cp:lastModifiedBy>
  <cp:lastPrinted>2015-01-13T02:50:00Z</cp:lastPrinted>
  <dcterms:modified xsi:type="dcterms:W3CDTF">2026-09-08T07:13:35Z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eyJoZGlkIjoiYzA2OWU3MmVjODIzOWE0MjgxNjk5Y2M4OGE2ODhmNDUiLCJ1c2VySWQiOiIxNzM4MTI4MjMwIn0=</vt:lpwstr>
  </property>
  <property fmtid="{D5CDD505-2E9C-101B-9397-08002B2CF9AE}" pid="4" name="ICV">
    <vt:lpwstr>9D1B5FF6B38E4695B624642332C4D93D_12</vt:lpwstr>
  </property>
</Properties>
</file>