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128AE">
      <w:pPr>
        <w:widowControl/>
        <w:jc w:val="center"/>
        <w:rPr>
          <w:rFonts w:hint="eastAsia" w:ascii="黑体" w:hAnsi="黑体" w:eastAsia="黑体" w:cs="黑体"/>
          <w:b w:val="0"/>
          <w:bCs w:val="0"/>
          <w:color w:val="252525"/>
          <w:kern w:val="0"/>
          <w:sz w:val="28"/>
          <w:szCs w:val="28"/>
        </w:rPr>
      </w:pPr>
      <w:r>
        <w:rPr>
          <w:rFonts w:hint="eastAsia" w:ascii="黑体" w:hAnsi="黑体" w:eastAsia="黑体" w:cs="黑体"/>
          <w:b w:val="0"/>
          <w:bCs w:val="0"/>
          <w:color w:val="252525"/>
          <w:kern w:val="0"/>
          <w:sz w:val="28"/>
          <w:szCs w:val="28"/>
        </w:rPr>
        <w:t>20</w:t>
      </w:r>
      <w:r>
        <w:rPr>
          <w:rFonts w:hint="eastAsia" w:ascii="黑体" w:hAnsi="黑体" w:eastAsia="黑体" w:cs="黑体"/>
          <w:b w:val="0"/>
          <w:bCs w:val="0"/>
          <w:color w:val="252525"/>
          <w:kern w:val="0"/>
          <w:sz w:val="28"/>
          <w:szCs w:val="28"/>
        </w:rPr>
        <w:t>2</w:t>
      </w:r>
      <w:r>
        <w:rPr>
          <w:rFonts w:hint="eastAsia" w:ascii="黑体" w:hAnsi="黑体" w:eastAsia="黑体" w:cs="黑体"/>
          <w:b w:val="0"/>
          <w:bCs w:val="0"/>
          <w:color w:val="252525"/>
          <w:kern w:val="0"/>
          <w:sz w:val="28"/>
          <w:szCs w:val="28"/>
          <w:lang w:val="en-US" w:eastAsia="zh-CN"/>
        </w:rPr>
        <w:t>6</w:t>
      </w:r>
      <w:r>
        <w:rPr>
          <w:rFonts w:hint="eastAsia" w:ascii="黑体" w:hAnsi="黑体" w:eastAsia="黑体" w:cs="黑体"/>
          <w:b w:val="0"/>
          <w:bCs w:val="0"/>
          <w:color w:val="252525"/>
          <w:kern w:val="0"/>
          <w:sz w:val="28"/>
          <w:szCs w:val="28"/>
        </w:rPr>
        <w:t>级研究生新生</w:t>
      </w:r>
      <w:r>
        <w:rPr>
          <w:rFonts w:hint="eastAsia" w:ascii="黑体" w:hAnsi="黑体" w:eastAsia="黑体" w:cs="黑体"/>
          <w:b w:val="0"/>
          <w:bCs w:val="0"/>
          <w:color w:val="252525"/>
          <w:kern w:val="0"/>
          <w:sz w:val="28"/>
          <w:szCs w:val="28"/>
        </w:rPr>
        <w:t>入学选课</w:t>
      </w:r>
      <w:r>
        <w:rPr>
          <w:rFonts w:hint="eastAsia" w:ascii="黑体" w:hAnsi="黑体" w:eastAsia="黑体" w:cs="黑体"/>
          <w:b w:val="0"/>
          <w:bCs w:val="0"/>
          <w:color w:val="252525"/>
          <w:kern w:val="0"/>
          <w:sz w:val="28"/>
          <w:szCs w:val="28"/>
        </w:rPr>
        <w:t>指南</w:t>
      </w:r>
    </w:p>
    <w:p w14:paraId="0C325309">
      <w:pPr>
        <w:widowControl/>
        <w:spacing w:line="380" w:lineRule="exact"/>
        <w:ind w:firstLine="560" w:firstLineChars="200"/>
        <w:jc w:val="left"/>
        <w:rPr>
          <w:rFonts w:hint="eastAsia" w:ascii="黑体" w:hAnsi="黑体" w:eastAsia="黑体" w:cs="黑体"/>
          <w:b w:val="0"/>
          <w:bCs w:val="0"/>
          <w:color w:val="252525"/>
          <w:kern w:val="0"/>
          <w:sz w:val="28"/>
          <w:szCs w:val="28"/>
        </w:rPr>
      </w:pPr>
      <w:r>
        <w:rPr>
          <w:rFonts w:hint="eastAsia" w:ascii="黑体" w:hAnsi="黑体" w:eastAsia="黑体" w:cs="黑体"/>
          <w:b w:val="0"/>
          <w:bCs w:val="0"/>
          <w:color w:val="252525"/>
          <w:kern w:val="0"/>
          <w:sz w:val="28"/>
          <w:szCs w:val="28"/>
        </w:rPr>
        <w:t xml:space="preserve"> </w:t>
      </w:r>
    </w:p>
    <w:p w14:paraId="01A8401D">
      <w:pPr>
        <w:widowControl/>
        <w:spacing w:line="440" w:lineRule="exact"/>
        <w:ind w:firstLine="480" w:firstLineChars="200"/>
        <w:jc w:val="left"/>
        <w:rPr>
          <w:rFonts w:cs="Tahoma" w:asciiTheme="majorEastAsia" w:hAnsiTheme="majorEastAsia" w:eastAsiaTheme="majorEastAsia"/>
          <w:b w:val="0"/>
          <w:bCs w:val="0"/>
          <w:color w:val="252525"/>
          <w:kern w:val="0"/>
          <w:sz w:val="24"/>
          <w:szCs w:val="24"/>
        </w:rPr>
      </w:pPr>
      <w:r>
        <w:rPr>
          <w:rFonts w:hint="eastAsia" w:ascii="黑体" w:hAnsi="黑体" w:eastAsia="黑体" w:cs="黑体"/>
          <w:b w:val="0"/>
          <w:bCs w:val="0"/>
          <w:color w:val="252525"/>
          <w:kern w:val="0"/>
          <w:sz w:val="24"/>
          <w:szCs w:val="24"/>
        </w:rPr>
        <w:t>一、研究生登录“研究生综合教育服务平台”的方式</w:t>
      </w:r>
    </w:p>
    <w:p w14:paraId="2EB042B9">
      <w:pPr>
        <w:spacing w:line="440" w:lineRule="exact"/>
        <w:ind w:firstLine="480" w:firstLineChars="200"/>
        <w:rPr>
          <w:rFonts w:cs="Tahoma" w:asciiTheme="majorEastAsia" w:hAnsiTheme="majorEastAsia" w:eastAsiaTheme="majorEastAsia"/>
          <w:b w:val="0"/>
          <w:bCs w:val="0"/>
          <w:color w:val="auto"/>
          <w:kern w:val="0"/>
          <w:sz w:val="24"/>
          <w:szCs w:val="24"/>
        </w:rPr>
      </w:pPr>
      <w:r>
        <w:rPr>
          <w:rFonts w:cs="Tahoma" w:asciiTheme="majorEastAsia" w:hAnsiTheme="majorEastAsia" w:eastAsiaTheme="majorEastAsia"/>
          <w:b w:val="0"/>
          <w:bCs w:val="0"/>
          <w:color w:val="252525"/>
          <w:kern w:val="0"/>
          <w:sz w:val="24"/>
          <w:szCs w:val="24"/>
        </w:rPr>
        <w:t>浙江师范大学研究生院网站主页（http://yjsb.zjnu.edu.cn/），在页面</w:t>
      </w:r>
      <w:r>
        <w:rPr>
          <w:rFonts w:hint="eastAsia" w:cs="Tahoma" w:asciiTheme="majorEastAsia" w:hAnsiTheme="majorEastAsia" w:eastAsiaTheme="majorEastAsia"/>
          <w:b w:val="0"/>
          <w:bCs w:val="0"/>
          <w:color w:val="252525"/>
          <w:kern w:val="0"/>
          <w:sz w:val="24"/>
          <w:szCs w:val="24"/>
        </w:rPr>
        <w:t>下部</w:t>
      </w:r>
      <w:r>
        <w:rPr>
          <w:rFonts w:cs="Tahoma" w:asciiTheme="majorEastAsia" w:hAnsiTheme="majorEastAsia" w:eastAsiaTheme="majorEastAsia"/>
          <w:b w:val="0"/>
          <w:bCs w:val="0"/>
          <w:color w:val="252525"/>
          <w:kern w:val="0"/>
          <w:sz w:val="24"/>
          <w:szCs w:val="24"/>
        </w:rPr>
        <w:t>点击“</w:t>
      </w:r>
      <w:r>
        <w:rPr>
          <w:rFonts w:hint="eastAsia" w:cs="Tahoma" w:asciiTheme="majorEastAsia" w:hAnsiTheme="majorEastAsia" w:eastAsiaTheme="majorEastAsia"/>
          <w:b w:val="0"/>
          <w:bCs w:val="0"/>
          <w:color w:val="252525"/>
          <w:kern w:val="0"/>
          <w:sz w:val="24"/>
          <w:szCs w:val="24"/>
        </w:rPr>
        <w:t>研究生综合教育服务平台</w:t>
      </w:r>
      <w:r>
        <w:rPr>
          <w:rFonts w:cs="Tahoma" w:asciiTheme="majorEastAsia" w:hAnsiTheme="majorEastAsia" w:eastAsiaTheme="majorEastAsia"/>
          <w:b w:val="0"/>
          <w:bCs w:val="0"/>
          <w:color w:val="252525"/>
          <w:kern w:val="0"/>
          <w:sz w:val="24"/>
          <w:szCs w:val="24"/>
        </w:rPr>
        <w:t>”下的“统一身份认证登录”。</w:t>
      </w:r>
      <w:bookmarkStart w:id="0" w:name="OLE_LINK4"/>
      <w:bookmarkStart w:id="1" w:name="OLE_LINK3"/>
      <w:r>
        <w:rPr>
          <w:rFonts w:hint="eastAsia" w:cs="Tahoma" w:asciiTheme="majorEastAsia" w:hAnsiTheme="majorEastAsia" w:eastAsiaTheme="majorEastAsia"/>
          <w:b w:val="0"/>
          <w:bCs w:val="0"/>
          <w:color w:val="252525"/>
          <w:kern w:val="0"/>
          <w:sz w:val="24"/>
          <w:szCs w:val="24"/>
        </w:rPr>
        <w:t>202</w:t>
      </w:r>
      <w:r>
        <w:rPr>
          <w:rFonts w:hint="eastAsia" w:cs="Tahoma" w:asciiTheme="majorEastAsia" w:hAnsiTheme="majorEastAsia" w:eastAsiaTheme="majorEastAsia"/>
          <w:b w:val="0"/>
          <w:bCs w:val="0"/>
          <w:color w:val="252525"/>
          <w:kern w:val="0"/>
          <w:sz w:val="24"/>
          <w:szCs w:val="24"/>
          <w:lang w:val="en-US" w:eastAsia="zh-CN"/>
        </w:rPr>
        <w:t>6</w:t>
      </w:r>
      <w:r>
        <w:rPr>
          <w:rFonts w:hint="eastAsia" w:cs="Tahoma" w:asciiTheme="majorEastAsia" w:hAnsiTheme="majorEastAsia" w:eastAsiaTheme="majorEastAsia"/>
          <w:b w:val="0"/>
          <w:bCs w:val="0"/>
          <w:color w:val="252525"/>
          <w:kern w:val="0"/>
          <w:sz w:val="24"/>
          <w:szCs w:val="24"/>
        </w:rPr>
        <w:t>级新生</w:t>
      </w:r>
      <w:r>
        <w:rPr>
          <w:rFonts w:cs="Tahoma" w:asciiTheme="majorEastAsia" w:hAnsiTheme="majorEastAsia" w:eastAsiaTheme="majorEastAsia"/>
          <w:b w:val="0"/>
          <w:bCs w:val="0"/>
          <w:color w:val="252525"/>
          <w:kern w:val="0"/>
          <w:sz w:val="24"/>
          <w:szCs w:val="24"/>
        </w:rPr>
        <w:t>登录用户名</w:t>
      </w:r>
      <w:r>
        <w:rPr>
          <w:rFonts w:hint="eastAsia" w:cs="Tahoma" w:asciiTheme="majorEastAsia" w:hAnsiTheme="majorEastAsia" w:eastAsiaTheme="majorEastAsia"/>
          <w:b w:val="0"/>
          <w:bCs w:val="0"/>
          <w:color w:val="252525"/>
          <w:kern w:val="0"/>
          <w:sz w:val="24"/>
          <w:szCs w:val="24"/>
        </w:rPr>
        <w:t>为</w:t>
      </w:r>
      <w:r>
        <w:rPr>
          <w:rFonts w:cs="Tahoma" w:asciiTheme="majorEastAsia" w:hAnsiTheme="majorEastAsia" w:eastAsiaTheme="majorEastAsia"/>
          <w:b w:val="0"/>
          <w:bCs w:val="0"/>
          <w:color w:val="252525"/>
          <w:kern w:val="0"/>
          <w:sz w:val="24"/>
          <w:szCs w:val="24"/>
        </w:rPr>
        <w:t>学号</w:t>
      </w:r>
      <w:r>
        <w:rPr>
          <w:rFonts w:hint="eastAsia" w:cs="Tahoma" w:asciiTheme="majorEastAsia" w:hAnsiTheme="majorEastAsia" w:eastAsiaTheme="majorEastAsia"/>
          <w:b w:val="0"/>
          <w:bCs w:val="0"/>
          <w:color w:val="252525"/>
          <w:kern w:val="0"/>
          <w:sz w:val="24"/>
          <w:szCs w:val="24"/>
        </w:rPr>
        <w:t>，</w:t>
      </w:r>
      <w:r>
        <w:rPr>
          <w:rFonts w:cs="Tahoma" w:asciiTheme="majorEastAsia" w:hAnsiTheme="majorEastAsia" w:eastAsiaTheme="majorEastAsia"/>
          <w:b w:val="0"/>
          <w:bCs w:val="0"/>
          <w:color w:val="252525"/>
          <w:kern w:val="0"/>
          <w:sz w:val="24"/>
          <w:szCs w:val="24"/>
        </w:rPr>
        <w:t>初始密码为</w:t>
      </w:r>
      <w:r>
        <w:rPr>
          <w:rFonts w:asciiTheme="majorEastAsia" w:hAnsiTheme="majorEastAsia" w:eastAsiaTheme="majorEastAsia"/>
          <w:b w:val="0"/>
          <w:bCs w:val="0"/>
          <w:sz w:val="24"/>
          <w:szCs w:val="24"/>
        </w:rPr>
        <w:t>身份证号后</w:t>
      </w:r>
      <w:r>
        <w:rPr>
          <w:rFonts w:hint="eastAsia" w:asciiTheme="majorEastAsia" w:hAnsiTheme="majorEastAsia" w:eastAsiaTheme="majorEastAsia"/>
          <w:b w:val="0"/>
          <w:bCs w:val="0"/>
          <w:sz w:val="24"/>
          <w:szCs w:val="24"/>
        </w:rPr>
        <w:t>6</w:t>
      </w:r>
      <w:r>
        <w:rPr>
          <w:rFonts w:asciiTheme="majorEastAsia" w:hAnsiTheme="majorEastAsia" w:eastAsiaTheme="majorEastAsia"/>
          <w:b w:val="0"/>
          <w:bCs w:val="0"/>
          <w:sz w:val="24"/>
          <w:szCs w:val="24"/>
        </w:rPr>
        <w:t>位（国际生为护照号后</w:t>
      </w:r>
      <w:r>
        <w:rPr>
          <w:rFonts w:hint="eastAsia" w:asciiTheme="majorEastAsia" w:hAnsiTheme="majorEastAsia" w:eastAsiaTheme="majorEastAsia"/>
          <w:b w:val="0"/>
          <w:bCs w:val="0"/>
          <w:sz w:val="24"/>
          <w:szCs w:val="24"/>
        </w:rPr>
        <w:t>6位</w:t>
      </w:r>
      <w:r>
        <w:rPr>
          <w:rFonts w:asciiTheme="majorEastAsia" w:hAnsiTheme="majorEastAsia" w:eastAsiaTheme="majorEastAsia"/>
          <w:b w:val="0"/>
          <w:bCs w:val="0"/>
          <w:sz w:val="24"/>
          <w:szCs w:val="24"/>
        </w:rPr>
        <w:t>）</w:t>
      </w:r>
      <w:r>
        <w:rPr>
          <w:rFonts w:hint="eastAsia" w:asciiTheme="majorEastAsia" w:hAnsiTheme="majorEastAsia" w:eastAsiaTheme="majorEastAsia"/>
          <w:b w:val="0"/>
          <w:bCs w:val="0"/>
          <w:sz w:val="24"/>
          <w:szCs w:val="24"/>
        </w:rPr>
        <w:t>。</w:t>
      </w:r>
      <w:r>
        <w:rPr>
          <w:rFonts w:hint="eastAsia" w:asciiTheme="majorEastAsia" w:hAnsiTheme="majorEastAsia" w:eastAsiaTheme="majorEastAsia"/>
          <w:b w:val="0"/>
          <w:bCs w:val="0"/>
          <w:color w:val="auto"/>
          <w:sz w:val="24"/>
          <w:szCs w:val="24"/>
        </w:rPr>
        <w:t>请注意：在使用统一身份认证系统登录前，请确保完成账号激活流程。</w:t>
      </w:r>
    </w:p>
    <w:p w14:paraId="3AFC70CD">
      <w:pPr>
        <w:widowControl/>
        <w:spacing w:line="440" w:lineRule="exact"/>
        <w:ind w:firstLine="480" w:firstLineChars="200"/>
        <w:jc w:val="left"/>
        <w:rPr>
          <w:rFonts w:cs="Tahoma" w:asciiTheme="majorEastAsia" w:hAnsiTheme="majorEastAsia" w:eastAsiaTheme="majorEastAsia"/>
          <w:b w:val="0"/>
          <w:bCs w:val="0"/>
          <w:color w:val="252525"/>
          <w:kern w:val="0"/>
          <w:sz w:val="24"/>
          <w:szCs w:val="24"/>
        </w:rPr>
      </w:pPr>
    </w:p>
    <w:bookmarkEnd w:id="0"/>
    <w:bookmarkEnd w:id="1"/>
    <w:p w14:paraId="0180334B">
      <w:pPr>
        <w:widowControl/>
        <w:spacing w:line="440" w:lineRule="exact"/>
        <w:ind w:firstLine="480" w:firstLineChars="200"/>
        <w:jc w:val="left"/>
        <w:rPr>
          <w:rFonts w:cs="Tahoma" w:asciiTheme="majorEastAsia" w:hAnsiTheme="majorEastAsia" w:eastAsiaTheme="majorEastAsia"/>
          <w:b w:val="0"/>
          <w:bCs w:val="0"/>
          <w:color w:val="252525"/>
          <w:kern w:val="0"/>
          <w:sz w:val="24"/>
          <w:szCs w:val="24"/>
        </w:rPr>
      </w:pPr>
      <w:r>
        <w:rPr>
          <w:rFonts w:hint="eastAsia" w:ascii="黑体" w:hAnsi="黑体" w:eastAsia="黑体" w:cs="黑体"/>
          <w:b w:val="0"/>
          <w:bCs w:val="0"/>
          <w:color w:val="252525"/>
          <w:kern w:val="0"/>
          <w:sz w:val="24"/>
          <w:szCs w:val="24"/>
        </w:rPr>
        <w:t>二、培养计划</w:t>
      </w:r>
      <w:bookmarkStart w:id="3" w:name="_GoBack"/>
      <w:bookmarkEnd w:id="3"/>
    </w:p>
    <w:p w14:paraId="2E3C72B4">
      <w:pPr>
        <w:widowControl/>
        <w:spacing w:line="440" w:lineRule="exact"/>
        <w:ind w:firstLine="480" w:firstLineChars="200"/>
        <w:jc w:val="left"/>
        <w:rPr>
          <w:rFonts w:hint="eastAsia" w:ascii="宋体" w:hAnsi="宋体" w:eastAsia="宋体" w:cs="宋体"/>
          <w:b w:val="0"/>
          <w:bCs w:val="0"/>
          <w:color w:val="252525"/>
          <w:kern w:val="0"/>
          <w:sz w:val="24"/>
          <w:szCs w:val="24"/>
        </w:rPr>
      </w:pPr>
      <w:r>
        <w:rPr>
          <w:rFonts w:hint="eastAsia" w:ascii="宋体" w:hAnsi="宋体" w:eastAsia="宋体" w:cs="宋体"/>
          <w:b w:val="0"/>
          <w:bCs w:val="0"/>
          <w:color w:val="252525"/>
          <w:kern w:val="0"/>
          <w:sz w:val="24"/>
          <w:szCs w:val="24"/>
        </w:rPr>
        <w:t>1.了解本学科专业的培养方案</w:t>
      </w:r>
    </w:p>
    <w:p w14:paraId="60092E8B">
      <w:pPr>
        <w:widowControl/>
        <w:spacing w:line="440" w:lineRule="exact"/>
        <w:ind w:firstLine="480" w:firstLineChars="200"/>
        <w:jc w:val="left"/>
        <w:rPr>
          <w:rFonts w:hint="eastAsia" w:ascii="宋体" w:hAnsi="宋体" w:eastAsia="宋体" w:cs="宋体"/>
          <w:b w:val="0"/>
          <w:bCs w:val="0"/>
          <w:color w:val="252525"/>
          <w:kern w:val="0"/>
          <w:sz w:val="24"/>
          <w:szCs w:val="24"/>
        </w:rPr>
      </w:pPr>
      <w:r>
        <w:rPr>
          <w:rFonts w:hint="eastAsia" w:ascii="宋体" w:hAnsi="宋体" w:eastAsia="宋体" w:cs="宋体"/>
          <w:b w:val="0"/>
          <w:bCs w:val="0"/>
          <w:color w:val="252525"/>
          <w:kern w:val="0"/>
          <w:sz w:val="24"/>
          <w:szCs w:val="24"/>
        </w:rPr>
        <w:t>202</w:t>
      </w:r>
      <w:r>
        <w:rPr>
          <w:rFonts w:hint="eastAsia" w:ascii="宋体" w:hAnsi="宋体" w:eastAsia="宋体" w:cs="宋体"/>
          <w:b w:val="0"/>
          <w:bCs w:val="0"/>
          <w:color w:val="252525"/>
          <w:kern w:val="0"/>
          <w:sz w:val="24"/>
          <w:szCs w:val="24"/>
          <w:lang w:val="en-US" w:eastAsia="zh-CN"/>
        </w:rPr>
        <w:t>6</w:t>
      </w:r>
      <w:r>
        <w:rPr>
          <w:rFonts w:hint="eastAsia" w:ascii="宋体" w:hAnsi="宋体" w:eastAsia="宋体" w:cs="宋体"/>
          <w:b w:val="0"/>
          <w:bCs w:val="0"/>
          <w:color w:val="252525"/>
          <w:kern w:val="0"/>
          <w:sz w:val="24"/>
          <w:szCs w:val="24"/>
        </w:rPr>
        <w:t>级新生在网上选课前，必须详细了解学科专业培养方案，详见各学院有关学科专业培养方案的告示或介绍。</w:t>
      </w:r>
    </w:p>
    <w:p w14:paraId="5B4B76F4">
      <w:pPr>
        <w:widowControl/>
        <w:spacing w:line="440" w:lineRule="exact"/>
        <w:ind w:firstLine="480" w:firstLineChars="200"/>
        <w:jc w:val="left"/>
        <w:rPr>
          <w:rFonts w:hint="eastAsia" w:ascii="宋体" w:hAnsi="宋体" w:eastAsia="宋体" w:cs="宋体"/>
          <w:b w:val="0"/>
          <w:bCs w:val="0"/>
          <w:color w:val="252525"/>
          <w:kern w:val="0"/>
          <w:sz w:val="24"/>
          <w:szCs w:val="24"/>
        </w:rPr>
      </w:pPr>
      <w:r>
        <w:rPr>
          <w:rFonts w:hint="eastAsia" w:ascii="宋体" w:hAnsi="宋体" w:eastAsia="宋体" w:cs="宋体"/>
          <w:b w:val="0"/>
          <w:bCs w:val="0"/>
          <w:color w:val="252525"/>
          <w:kern w:val="0"/>
          <w:sz w:val="24"/>
          <w:szCs w:val="24"/>
        </w:rPr>
        <w:t>2.制订并提交“个人培养计划”</w:t>
      </w:r>
    </w:p>
    <w:p w14:paraId="791F58BC">
      <w:pPr>
        <w:widowControl/>
        <w:spacing w:line="440" w:lineRule="exact"/>
        <w:ind w:firstLine="480" w:firstLineChars="200"/>
        <w:jc w:val="left"/>
        <w:rPr>
          <w:rFonts w:cs="Tahoma" w:asciiTheme="majorEastAsia" w:hAnsiTheme="majorEastAsia" w:eastAsiaTheme="majorEastAsia"/>
          <w:b w:val="0"/>
          <w:bCs w:val="0"/>
          <w:color w:val="auto"/>
          <w:kern w:val="0"/>
          <w:sz w:val="24"/>
          <w:szCs w:val="24"/>
        </w:rPr>
      </w:pPr>
      <w:r>
        <w:rPr>
          <w:rFonts w:hint="eastAsia" w:ascii="宋体" w:hAnsi="宋体" w:eastAsia="宋体" w:cs="宋体"/>
          <w:b w:val="0"/>
          <w:bCs w:val="0"/>
          <w:color w:val="252525"/>
          <w:kern w:val="0"/>
          <w:sz w:val="24"/>
          <w:szCs w:val="24"/>
        </w:rPr>
        <w:t>本项工作须在研究生综合教育服务</w:t>
      </w:r>
      <w:r>
        <w:rPr>
          <w:rFonts w:hint="eastAsia" w:cs="Tahoma" w:asciiTheme="majorEastAsia" w:hAnsiTheme="majorEastAsia" w:eastAsiaTheme="majorEastAsia"/>
          <w:b w:val="0"/>
          <w:bCs w:val="0"/>
          <w:color w:val="252525"/>
          <w:kern w:val="0"/>
          <w:sz w:val="24"/>
          <w:szCs w:val="24"/>
        </w:rPr>
        <w:t>平台</w:t>
      </w:r>
      <w:r>
        <w:rPr>
          <w:rFonts w:cs="Tahoma" w:asciiTheme="majorEastAsia" w:hAnsiTheme="majorEastAsia" w:eastAsiaTheme="majorEastAsia"/>
          <w:b w:val="0"/>
          <w:bCs w:val="0"/>
          <w:color w:val="252525"/>
          <w:kern w:val="0"/>
          <w:sz w:val="24"/>
          <w:szCs w:val="24"/>
        </w:rPr>
        <w:t>内完成</w:t>
      </w:r>
      <w:r>
        <w:rPr>
          <w:rFonts w:hint="eastAsia" w:cs="Tahoma" w:asciiTheme="majorEastAsia" w:hAnsiTheme="majorEastAsia" w:eastAsiaTheme="majorEastAsia"/>
          <w:b w:val="0"/>
          <w:bCs w:val="0"/>
          <w:color w:val="252525"/>
          <w:kern w:val="0"/>
          <w:sz w:val="24"/>
          <w:szCs w:val="24"/>
        </w:rPr>
        <w:t>，个人培养计划的制定需在学院指导下进行</w:t>
      </w:r>
      <w:r>
        <w:rPr>
          <w:rFonts w:cs="Tahoma" w:asciiTheme="majorEastAsia" w:hAnsiTheme="majorEastAsia" w:eastAsiaTheme="majorEastAsia"/>
          <w:b w:val="0"/>
          <w:bCs w:val="0"/>
          <w:color w:val="auto"/>
          <w:kern w:val="0"/>
          <w:sz w:val="24"/>
          <w:szCs w:val="24"/>
        </w:rPr>
        <w:t>。</w:t>
      </w:r>
      <w:r>
        <w:rPr>
          <w:rFonts w:hint="eastAsia" w:cs="Tahoma" w:asciiTheme="majorEastAsia" w:hAnsiTheme="majorEastAsia" w:eastAsiaTheme="majorEastAsia"/>
          <w:b w:val="0"/>
          <w:bCs w:val="0"/>
          <w:color w:val="auto"/>
          <w:kern w:val="0"/>
          <w:sz w:val="24"/>
          <w:szCs w:val="24"/>
        </w:rPr>
        <w:t>未提交个人培养计划的不能网上选课。</w:t>
      </w:r>
      <w:r>
        <w:rPr>
          <w:rFonts w:cs="Tahoma" w:asciiTheme="majorEastAsia" w:hAnsiTheme="majorEastAsia" w:eastAsiaTheme="majorEastAsia"/>
          <w:b w:val="0"/>
          <w:bCs w:val="0"/>
          <w:color w:val="auto"/>
          <w:kern w:val="0"/>
          <w:sz w:val="24"/>
          <w:szCs w:val="24"/>
        </w:rPr>
        <w:t>个人培养计划提交开放时间</w:t>
      </w:r>
      <w:r>
        <w:rPr>
          <w:rFonts w:hint="eastAsia" w:cs="Tahoma" w:asciiTheme="majorEastAsia" w:hAnsiTheme="majorEastAsia" w:eastAsiaTheme="majorEastAsia"/>
          <w:b w:val="0"/>
          <w:bCs w:val="0"/>
          <w:color w:val="auto"/>
          <w:kern w:val="0"/>
          <w:sz w:val="24"/>
          <w:szCs w:val="24"/>
        </w:rPr>
        <w:t>：</w:t>
      </w:r>
      <w:r>
        <w:rPr>
          <w:rFonts w:cs="Tahoma" w:asciiTheme="majorEastAsia" w:hAnsiTheme="majorEastAsia" w:eastAsiaTheme="majorEastAsia"/>
          <w:b w:val="0"/>
          <w:bCs w:val="0"/>
          <w:color w:val="auto"/>
          <w:kern w:val="0"/>
          <w:sz w:val="24"/>
          <w:szCs w:val="24"/>
        </w:rPr>
        <w:t>9月1</w:t>
      </w:r>
      <w:r>
        <w:rPr>
          <w:rFonts w:hint="eastAsia" w:cs="Tahoma" w:asciiTheme="majorEastAsia" w:hAnsiTheme="majorEastAsia" w:eastAsiaTheme="majorEastAsia"/>
          <w:b w:val="0"/>
          <w:bCs w:val="0"/>
          <w:color w:val="auto"/>
          <w:kern w:val="0"/>
          <w:sz w:val="24"/>
          <w:szCs w:val="24"/>
          <w:lang w:val="en-US" w:eastAsia="zh-CN"/>
        </w:rPr>
        <w:t>4</w:t>
      </w:r>
      <w:r>
        <w:rPr>
          <w:rFonts w:cs="Tahoma" w:asciiTheme="majorEastAsia" w:hAnsiTheme="majorEastAsia" w:eastAsiaTheme="majorEastAsia"/>
          <w:b w:val="0"/>
          <w:bCs w:val="0"/>
          <w:color w:val="auto"/>
          <w:kern w:val="0"/>
          <w:sz w:val="24"/>
          <w:szCs w:val="24"/>
        </w:rPr>
        <w:t>日至</w:t>
      </w:r>
      <w:r>
        <w:rPr>
          <w:rFonts w:hint="eastAsia" w:cs="Tahoma" w:asciiTheme="majorEastAsia" w:hAnsiTheme="majorEastAsia" w:eastAsiaTheme="majorEastAsia"/>
          <w:b w:val="0"/>
          <w:bCs w:val="0"/>
          <w:color w:val="auto"/>
          <w:kern w:val="0"/>
          <w:sz w:val="24"/>
          <w:szCs w:val="24"/>
        </w:rPr>
        <w:t>1</w:t>
      </w:r>
      <w:r>
        <w:rPr>
          <w:rFonts w:hint="eastAsia" w:cs="Tahoma" w:asciiTheme="majorEastAsia" w:hAnsiTheme="majorEastAsia" w:eastAsiaTheme="majorEastAsia"/>
          <w:b w:val="0"/>
          <w:bCs w:val="0"/>
          <w:color w:val="auto"/>
          <w:kern w:val="0"/>
          <w:sz w:val="24"/>
          <w:szCs w:val="24"/>
          <w:lang w:val="en-US" w:eastAsia="zh-CN"/>
        </w:rPr>
        <w:t>0</w:t>
      </w:r>
      <w:r>
        <w:rPr>
          <w:rFonts w:hint="eastAsia" w:cs="Tahoma" w:asciiTheme="majorEastAsia" w:hAnsiTheme="majorEastAsia" w:eastAsiaTheme="majorEastAsia"/>
          <w:b w:val="0"/>
          <w:bCs w:val="0"/>
          <w:color w:val="auto"/>
          <w:kern w:val="0"/>
          <w:sz w:val="24"/>
          <w:szCs w:val="24"/>
        </w:rPr>
        <w:t>月</w:t>
      </w:r>
      <w:r>
        <w:rPr>
          <w:rFonts w:hint="eastAsia" w:cs="Tahoma" w:asciiTheme="majorEastAsia" w:hAnsiTheme="majorEastAsia" w:eastAsiaTheme="majorEastAsia"/>
          <w:b w:val="0"/>
          <w:bCs w:val="0"/>
          <w:color w:val="auto"/>
          <w:kern w:val="0"/>
          <w:sz w:val="24"/>
          <w:szCs w:val="24"/>
          <w:lang w:val="en-US" w:eastAsia="zh-CN"/>
        </w:rPr>
        <w:t>31</w:t>
      </w:r>
      <w:r>
        <w:rPr>
          <w:rFonts w:cs="Tahoma" w:asciiTheme="majorEastAsia" w:hAnsiTheme="majorEastAsia" w:eastAsiaTheme="majorEastAsia"/>
          <w:b w:val="0"/>
          <w:bCs w:val="0"/>
          <w:color w:val="auto"/>
          <w:kern w:val="0"/>
          <w:sz w:val="24"/>
          <w:szCs w:val="24"/>
        </w:rPr>
        <w:t>日</w:t>
      </w:r>
      <w:r>
        <w:rPr>
          <w:rFonts w:hint="eastAsia" w:cs="Tahoma" w:asciiTheme="majorEastAsia" w:hAnsiTheme="majorEastAsia" w:eastAsiaTheme="majorEastAsia"/>
          <w:b w:val="0"/>
          <w:bCs w:val="0"/>
          <w:color w:val="auto"/>
          <w:kern w:val="0"/>
          <w:sz w:val="24"/>
          <w:szCs w:val="24"/>
        </w:rPr>
        <w:t>。</w:t>
      </w:r>
      <w:r>
        <w:rPr>
          <w:rFonts w:cs="Tahoma" w:asciiTheme="majorEastAsia" w:hAnsiTheme="majorEastAsia" w:eastAsiaTheme="majorEastAsia"/>
          <w:b w:val="0"/>
          <w:bCs w:val="0"/>
          <w:color w:val="auto"/>
          <w:kern w:val="0"/>
          <w:sz w:val="24"/>
          <w:szCs w:val="24"/>
        </w:rPr>
        <w:t xml:space="preserve"> </w:t>
      </w:r>
    </w:p>
    <w:p w14:paraId="429C2C4B">
      <w:pPr>
        <w:widowControl/>
        <w:spacing w:line="440" w:lineRule="exact"/>
        <w:ind w:firstLine="480" w:firstLineChars="200"/>
        <w:jc w:val="left"/>
        <w:rPr>
          <w:rFonts w:cs="Tahoma" w:asciiTheme="majorEastAsia" w:hAnsiTheme="majorEastAsia" w:eastAsiaTheme="majorEastAsia"/>
          <w:b w:val="0"/>
          <w:bCs w:val="0"/>
          <w:color w:val="252525"/>
          <w:kern w:val="0"/>
          <w:sz w:val="24"/>
          <w:szCs w:val="24"/>
        </w:rPr>
      </w:pPr>
      <w:r>
        <w:rPr>
          <w:rFonts w:hint="eastAsia" w:cs="Tahoma" w:asciiTheme="majorEastAsia" w:hAnsiTheme="majorEastAsia" w:eastAsiaTheme="majorEastAsia"/>
          <w:b w:val="0"/>
          <w:bCs w:val="0"/>
          <w:color w:val="252525"/>
          <w:kern w:val="0"/>
          <w:sz w:val="24"/>
          <w:szCs w:val="24"/>
        </w:rPr>
        <w:t>在平台中提交培养计划时的注意事项：</w:t>
      </w:r>
    </w:p>
    <w:p w14:paraId="7C5C06CB">
      <w:pPr>
        <w:widowControl/>
        <w:spacing w:line="440" w:lineRule="exact"/>
        <w:ind w:firstLine="480" w:firstLineChars="200"/>
        <w:jc w:val="left"/>
        <w:rPr>
          <w:rFonts w:cs="Tahoma" w:asciiTheme="majorEastAsia" w:hAnsiTheme="majorEastAsia" w:eastAsiaTheme="majorEastAsia"/>
          <w:b w:val="0"/>
          <w:bCs w:val="0"/>
          <w:color w:val="252525"/>
          <w:kern w:val="0"/>
          <w:sz w:val="24"/>
          <w:szCs w:val="24"/>
        </w:rPr>
      </w:pPr>
      <w:r>
        <w:rPr>
          <w:rFonts w:hint="eastAsia" w:cs="Tahoma" w:asciiTheme="majorEastAsia" w:hAnsiTheme="majorEastAsia" w:eastAsiaTheme="majorEastAsia"/>
          <w:b w:val="0"/>
          <w:bCs w:val="0"/>
          <w:color w:val="252525"/>
          <w:kern w:val="0"/>
          <w:sz w:val="24"/>
          <w:szCs w:val="24"/>
        </w:rPr>
        <w:t>（1）系统中不分组的程（在培养方案的培养计划表中备注栏为 “必修”的）是必须修读的不可选择的课程；但分组的课程（指同一组课程可选部分课程修读，在培养方案的培养计划表中备注栏为“至少修*门，最低*学分”，必须选择后才能提交,不能少选,可以多选。</w:t>
      </w:r>
    </w:p>
    <w:p w14:paraId="717D99DF">
      <w:pPr>
        <w:widowControl/>
        <w:spacing w:line="440" w:lineRule="exact"/>
        <w:ind w:firstLine="480" w:firstLineChars="200"/>
        <w:jc w:val="left"/>
        <w:rPr>
          <w:rFonts w:cs="Tahoma" w:asciiTheme="majorEastAsia" w:hAnsiTheme="majorEastAsia" w:eastAsiaTheme="majorEastAsia"/>
          <w:b w:val="0"/>
          <w:bCs w:val="0"/>
          <w:color w:val="252525"/>
          <w:kern w:val="0"/>
          <w:sz w:val="24"/>
          <w:szCs w:val="24"/>
        </w:rPr>
      </w:pPr>
      <w:r>
        <w:rPr>
          <w:rFonts w:hint="eastAsia" w:cs="Tahoma" w:asciiTheme="majorEastAsia" w:hAnsiTheme="majorEastAsia" w:eastAsiaTheme="majorEastAsia"/>
          <w:b w:val="0"/>
          <w:bCs w:val="0"/>
          <w:color w:val="252525"/>
          <w:kern w:val="0"/>
          <w:sz w:val="24"/>
          <w:szCs w:val="24"/>
        </w:rPr>
        <w:t>（2）</w:t>
      </w:r>
      <w:r>
        <w:rPr>
          <w:rFonts w:cs="Tahoma" w:asciiTheme="majorEastAsia" w:hAnsiTheme="majorEastAsia" w:eastAsiaTheme="majorEastAsia"/>
          <w:b w:val="0"/>
          <w:bCs w:val="0"/>
          <w:color w:val="252525"/>
          <w:kern w:val="0"/>
          <w:sz w:val="24"/>
          <w:szCs w:val="24"/>
        </w:rPr>
        <w:t>跨学科选修课程</w:t>
      </w:r>
      <w:r>
        <w:rPr>
          <w:rFonts w:hint="eastAsia" w:cs="Tahoma" w:asciiTheme="majorEastAsia" w:hAnsiTheme="majorEastAsia" w:eastAsiaTheme="majorEastAsia"/>
          <w:b w:val="0"/>
          <w:bCs w:val="0"/>
          <w:color w:val="252525"/>
          <w:kern w:val="0"/>
          <w:sz w:val="24"/>
          <w:szCs w:val="24"/>
        </w:rPr>
        <w:t>。</w:t>
      </w:r>
      <w:r>
        <w:rPr>
          <w:rFonts w:cs="Tahoma" w:asciiTheme="majorEastAsia" w:hAnsiTheme="majorEastAsia" w:eastAsiaTheme="majorEastAsia"/>
          <w:b w:val="0"/>
          <w:bCs w:val="0"/>
          <w:color w:val="252525"/>
          <w:kern w:val="0"/>
          <w:sz w:val="24"/>
          <w:szCs w:val="24"/>
        </w:rPr>
        <w:t>学术型硕士生在课程学习阶段须修学不少于2学分的跨学科选修课程（请注意：博士和专硕不作要求）。</w:t>
      </w:r>
      <w:r>
        <w:rPr>
          <w:rFonts w:cs="Tahoma" w:asciiTheme="majorEastAsia" w:hAnsiTheme="majorEastAsia" w:eastAsiaTheme="majorEastAsia"/>
          <w:b w:val="0"/>
          <w:bCs w:val="0"/>
          <w:kern w:val="0"/>
          <w:sz w:val="24"/>
          <w:szCs w:val="24"/>
        </w:rPr>
        <w:t>“</w:t>
      </w:r>
      <w:r>
        <w:rPr>
          <w:rFonts w:hint="eastAsia" w:cs="Tahoma" w:asciiTheme="majorEastAsia" w:hAnsiTheme="majorEastAsia" w:eastAsiaTheme="majorEastAsia"/>
          <w:b w:val="0"/>
          <w:bCs w:val="0"/>
          <w:kern w:val="0"/>
          <w:sz w:val="24"/>
          <w:szCs w:val="24"/>
        </w:rPr>
        <w:t>F跨学科选修课</w:t>
      </w:r>
      <w:r>
        <w:rPr>
          <w:rFonts w:cs="Tahoma" w:asciiTheme="majorEastAsia" w:hAnsiTheme="majorEastAsia" w:eastAsiaTheme="majorEastAsia"/>
          <w:b w:val="0"/>
          <w:bCs w:val="0"/>
          <w:kern w:val="0"/>
          <w:sz w:val="24"/>
          <w:szCs w:val="24"/>
        </w:rPr>
        <w:t>”</w:t>
      </w:r>
      <w:r>
        <w:rPr>
          <w:rFonts w:hint="eastAsia" w:cs="Tahoma" w:asciiTheme="majorEastAsia" w:hAnsiTheme="majorEastAsia" w:eastAsiaTheme="majorEastAsia"/>
          <w:b w:val="0"/>
          <w:bCs w:val="0"/>
          <w:kern w:val="0"/>
          <w:sz w:val="24"/>
          <w:szCs w:val="24"/>
        </w:rPr>
        <w:t>基于“课程库”进行选择课程，学生点击此处只能选择“F跨学科选修课”。</w:t>
      </w:r>
    </w:p>
    <w:p w14:paraId="7A84F13A">
      <w:pPr>
        <w:widowControl/>
        <w:spacing w:line="440" w:lineRule="exact"/>
        <w:ind w:firstLine="480" w:firstLineChars="200"/>
        <w:jc w:val="left"/>
        <w:rPr>
          <w:rFonts w:cs="Tahoma" w:asciiTheme="majorEastAsia" w:hAnsiTheme="majorEastAsia" w:eastAsiaTheme="majorEastAsia"/>
          <w:b w:val="0"/>
          <w:bCs w:val="0"/>
          <w:color w:val="252525"/>
          <w:kern w:val="0"/>
          <w:sz w:val="24"/>
          <w:szCs w:val="24"/>
        </w:rPr>
      </w:pPr>
      <w:r>
        <w:rPr>
          <w:rFonts w:hint="eastAsia" w:cs="Tahoma" w:asciiTheme="majorEastAsia" w:hAnsiTheme="majorEastAsia" w:eastAsiaTheme="majorEastAsia"/>
          <w:b w:val="0"/>
          <w:bCs w:val="0"/>
          <w:color w:val="252525"/>
          <w:kern w:val="0"/>
          <w:sz w:val="24"/>
          <w:szCs w:val="24"/>
        </w:rPr>
        <w:t>（3）系统中提交的培养计划应符合培养方案培养计划表中各项的最低要求，即除总学分外，按课程类别的应修课程数或应修最低学分数也应符合要求。</w:t>
      </w:r>
    </w:p>
    <w:p w14:paraId="59272997">
      <w:pPr>
        <w:widowControl/>
        <w:spacing w:line="440" w:lineRule="exact"/>
        <w:ind w:firstLine="480" w:firstLineChars="200"/>
        <w:jc w:val="left"/>
        <w:rPr>
          <w:rFonts w:cs="Tahoma" w:asciiTheme="majorEastAsia" w:hAnsiTheme="majorEastAsia" w:eastAsiaTheme="majorEastAsia"/>
          <w:b w:val="0"/>
          <w:bCs w:val="0"/>
          <w:color w:val="252525"/>
          <w:kern w:val="0"/>
          <w:sz w:val="24"/>
          <w:szCs w:val="24"/>
        </w:rPr>
      </w:pPr>
      <w:r>
        <w:rPr>
          <w:rFonts w:hint="eastAsia" w:cs="Tahoma" w:asciiTheme="majorEastAsia" w:hAnsiTheme="majorEastAsia" w:eastAsiaTheme="majorEastAsia"/>
          <w:b w:val="0"/>
          <w:bCs w:val="0"/>
          <w:color w:val="252525"/>
          <w:kern w:val="0"/>
          <w:sz w:val="24"/>
          <w:szCs w:val="24"/>
        </w:rPr>
        <w:t>具体操作流程详见附件《浙江师范大学【我的培养计划】操作指南_学生》。</w:t>
      </w:r>
    </w:p>
    <w:p w14:paraId="4E7378DF">
      <w:pPr>
        <w:widowControl/>
        <w:spacing w:line="440" w:lineRule="exact"/>
        <w:ind w:firstLine="600" w:firstLineChars="250"/>
        <w:jc w:val="left"/>
        <w:rPr>
          <w:rFonts w:cs="Tahoma" w:asciiTheme="majorEastAsia" w:hAnsiTheme="majorEastAsia" w:eastAsiaTheme="majorEastAsia"/>
          <w:b w:val="0"/>
          <w:bCs w:val="0"/>
          <w:color w:val="252525"/>
          <w:kern w:val="0"/>
          <w:sz w:val="24"/>
          <w:szCs w:val="24"/>
        </w:rPr>
      </w:pPr>
    </w:p>
    <w:p w14:paraId="3EF0D5E2">
      <w:pPr>
        <w:widowControl/>
        <w:spacing w:line="440" w:lineRule="exact"/>
        <w:ind w:firstLine="600" w:firstLineChars="250"/>
        <w:jc w:val="left"/>
        <w:rPr>
          <w:rFonts w:hint="eastAsia" w:ascii="黑体" w:hAnsi="黑体" w:eastAsia="黑体" w:cs="黑体"/>
          <w:b w:val="0"/>
          <w:bCs w:val="0"/>
          <w:color w:val="252525"/>
          <w:kern w:val="0"/>
          <w:sz w:val="24"/>
          <w:szCs w:val="24"/>
        </w:rPr>
      </w:pPr>
      <w:r>
        <w:rPr>
          <w:rFonts w:hint="eastAsia" w:ascii="黑体" w:hAnsi="黑体" w:eastAsia="黑体" w:cs="黑体"/>
          <w:b w:val="0"/>
          <w:bCs w:val="0"/>
          <w:color w:val="252525"/>
          <w:kern w:val="0"/>
          <w:sz w:val="24"/>
          <w:szCs w:val="24"/>
        </w:rPr>
        <w:t>三、网上选课</w:t>
      </w:r>
    </w:p>
    <w:p w14:paraId="384A14E5">
      <w:pPr>
        <w:widowControl/>
        <w:spacing w:line="440" w:lineRule="exact"/>
        <w:ind w:firstLine="480" w:firstLineChars="200"/>
        <w:jc w:val="left"/>
        <w:rPr>
          <w:rFonts w:hint="eastAsia" w:ascii="黑体" w:hAnsi="黑体" w:eastAsia="黑体" w:cs="黑体"/>
          <w:b w:val="0"/>
          <w:bCs w:val="0"/>
          <w:color w:val="252525"/>
          <w:kern w:val="0"/>
          <w:sz w:val="24"/>
          <w:szCs w:val="24"/>
        </w:rPr>
      </w:pPr>
      <w:r>
        <w:rPr>
          <w:rFonts w:hint="eastAsia" w:ascii="黑体" w:hAnsi="黑体" w:eastAsia="黑体" w:cs="黑体"/>
          <w:b w:val="0"/>
          <w:bCs w:val="0"/>
          <w:color w:val="252525"/>
          <w:kern w:val="0"/>
          <w:sz w:val="24"/>
          <w:szCs w:val="24"/>
        </w:rPr>
        <w:t>（一）公共英语免修</w:t>
      </w:r>
    </w:p>
    <w:p w14:paraId="0D106E36">
      <w:pPr>
        <w:widowControl/>
        <w:spacing w:line="440" w:lineRule="exact"/>
        <w:ind w:firstLine="480" w:firstLineChars="200"/>
        <w:jc w:val="left"/>
        <w:rPr>
          <w:rFonts w:cs="Tahoma" w:asciiTheme="majorEastAsia" w:hAnsiTheme="majorEastAsia" w:eastAsiaTheme="majorEastAsia"/>
          <w:b w:val="0"/>
          <w:bCs w:val="0"/>
          <w:color w:val="252525"/>
          <w:kern w:val="0"/>
          <w:sz w:val="24"/>
          <w:szCs w:val="24"/>
        </w:rPr>
      </w:pPr>
      <w:r>
        <w:rPr>
          <w:rFonts w:hint="eastAsia" w:cs="Tahoma" w:asciiTheme="majorEastAsia" w:hAnsiTheme="majorEastAsia" w:eastAsiaTheme="majorEastAsia"/>
          <w:b w:val="0"/>
          <w:bCs w:val="0"/>
          <w:color w:val="252525"/>
          <w:kern w:val="0"/>
          <w:sz w:val="24"/>
          <w:szCs w:val="24"/>
        </w:rPr>
        <w:t>根据《浙江师范大学研究生教学工作规程（修订）（浙师研字〔2020〕10号）》文件规定，符合下列条件之一，可申请免修学位公共外语（研究生专业英语不能免修）：1．</w:t>
      </w:r>
      <w:r>
        <w:rPr>
          <w:rFonts w:cs="Tahoma" w:asciiTheme="majorEastAsia" w:hAnsiTheme="majorEastAsia" w:eastAsiaTheme="majorEastAsia"/>
          <w:b w:val="0"/>
          <w:bCs w:val="0"/>
          <w:color w:val="252525"/>
          <w:kern w:val="0"/>
          <w:sz w:val="24"/>
          <w:szCs w:val="24"/>
        </w:rPr>
        <w:t>研究生入学考试外语成绩70分及以上</w:t>
      </w:r>
      <w:r>
        <w:rPr>
          <w:rFonts w:hint="eastAsia" w:cs="Tahoma" w:asciiTheme="majorEastAsia" w:hAnsiTheme="majorEastAsia" w:eastAsiaTheme="majorEastAsia"/>
          <w:b w:val="0"/>
          <w:bCs w:val="0"/>
          <w:color w:val="252525"/>
          <w:kern w:val="0"/>
          <w:sz w:val="24"/>
          <w:szCs w:val="24"/>
        </w:rPr>
        <w:t>；2．</w:t>
      </w:r>
      <w:r>
        <w:rPr>
          <w:rFonts w:cs="Tahoma" w:asciiTheme="majorEastAsia" w:hAnsiTheme="majorEastAsia" w:eastAsiaTheme="majorEastAsia"/>
          <w:b w:val="0"/>
          <w:bCs w:val="0"/>
          <w:color w:val="252525"/>
          <w:kern w:val="0"/>
          <w:sz w:val="24"/>
          <w:szCs w:val="24"/>
        </w:rPr>
        <w:t>大学英语六级总分500分及以上且听力150及以上</w:t>
      </w:r>
      <w:r>
        <w:rPr>
          <w:rFonts w:hint="eastAsia" w:cs="Tahoma" w:asciiTheme="majorEastAsia" w:hAnsiTheme="majorEastAsia" w:eastAsiaTheme="majorEastAsia"/>
          <w:b w:val="0"/>
          <w:bCs w:val="0"/>
          <w:color w:val="252525"/>
          <w:kern w:val="0"/>
          <w:sz w:val="24"/>
          <w:szCs w:val="24"/>
        </w:rPr>
        <w:t>；3．本科阶段为英语专业且通过英语专业八级而攻读非英语专业学位的；4．入学前三年内参加TOEFL考试，成绩80分及以上；5．入学前三年内参加IELTS（雅思</w:t>
      </w:r>
      <w:r>
        <w:rPr>
          <w:rFonts w:cs="Tahoma" w:asciiTheme="majorEastAsia" w:hAnsiTheme="majorEastAsia" w:eastAsiaTheme="majorEastAsia"/>
          <w:b w:val="0"/>
          <w:bCs w:val="0"/>
          <w:color w:val="252525"/>
          <w:kern w:val="0"/>
          <w:sz w:val="24"/>
          <w:szCs w:val="24"/>
        </w:rPr>
        <w:t>学术类</w:t>
      </w:r>
      <w:r>
        <w:rPr>
          <w:rFonts w:hint="eastAsia" w:cs="Tahoma" w:asciiTheme="majorEastAsia" w:hAnsiTheme="majorEastAsia" w:eastAsiaTheme="majorEastAsia"/>
          <w:b w:val="0"/>
          <w:bCs w:val="0"/>
          <w:color w:val="252525"/>
          <w:kern w:val="0"/>
          <w:sz w:val="24"/>
          <w:szCs w:val="24"/>
        </w:rPr>
        <w:t>）考试，成绩5.5分及以上；6．入学前三年内参加GRE考试（General Test），成绩300分及以上；7．</w:t>
      </w:r>
      <w:r>
        <w:rPr>
          <w:rFonts w:cs="Tahoma" w:asciiTheme="majorEastAsia" w:hAnsiTheme="majorEastAsia" w:eastAsiaTheme="majorEastAsia"/>
          <w:b w:val="0"/>
          <w:bCs w:val="0"/>
          <w:color w:val="252525"/>
          <w:kern w:val="0"/>
          <w:sz w:val="24"/>
          <w:szCs w:val="24"/>
        </w:rPr>
        <w:t>WSK（PETS 5）成绩达到合格标准</w:t>
      </w:r>
      <w:r>
        <w:rPr>
          <w:rFonts w:hint="eastAsia" w:cs="Tahoma" w:asciiTheme="majorEastAsia" w:hAnsiTheme="majorEastAsia" w:eastAsiaTheme="majorEastAsia"/>
          <w:b w:val="0"/>
          <w:bCs w:val="0"/>
          <w:color w:val="252525"/>
          <w:kern w:val="0"/>
          <w:sz w:val="24"/>
          <w:szCs w:val="24"/>
        </w:rPr>
        <w:t>；8．德、法、意、西语达到欧洲统一语言参考框架（CECRL）的B2级，日语达到二级（N2），韩语达到TOPIK4级的；9．以第一作者在本学科外文期刊上公开发表学术论文2篇及以上，或公开出版外文著作、译作的；10．在英语、法语等语言国家工作或学习1年及以上的。11</w:t>
      </w:r>
      <w:r>
        <w:rPr>
          <w:rFonts w:cs="Tahoma" w:asciiTheme="majorEastAsia" w:hAnsiTheme="majorEastAsia" w:eastAsiaTheme="majorEastAsia"/>
          <w:b w:val="0"/>
          <w:bCs w:val="0"/>
          <w:color w:val="252525"/>
          <w:kern w:val="0"/>
          <w:sz w:val="24"/>
          <w:szCs w:val="24"/>
        </w:rPr>
        <w:t>．在国外或境外大学或高等教育机构（英语国家或地区）攻读正规课程获得本科及以上学历或硕士及以上学位；</w:t>
      </w:r>
      <w:r>
        <w:rPr>
          <w:rFonts w:hint="eastAsia" w:cs="Tahoma" w:asciiTheme="majorEastAsia" w:hAnsiTheme="majorEastAsia" w:eastAsiaTheme="majorEastAsia"/>
          <w:b w:val="0"/>
          <w:bCs w:val="0"/>
          <w:color w:val="252525"/>
          <w:kern w:val="0"/>
          <w:sz w:val="24"/>
          <w:szCs w:val="24"/>
        </w:rPr>
        <w:t>12</w:t>
      </w:r>
      <w:r>
        <w:rPr>
          <w:rFonts w:cs="Tahoma" w:asciiTheme="majorEastAsia" w:hAnsiTheme="majorEastAsia" w:eastAsiaTheme="majorEastAsia"/>
          <w:b w:val="0"/>
          <w:bCs w:val="0"/>
          <w:color w:val="252525"/>
          <w:kern w:val="0"/>
          <w:sz w:val="24"/>
          <w:szCs w:val="24"/>
        </w:rPr>
        <w:t>．入学前两年参加剑桥商务英语证书（BEC）中级考试，成绩合格及以上；</w:t>
      </w:r>
      <w:r>
        <w:rPr>
          <w:rFonts w:hint="eastAsia" w:cs="Tahoma" w:asciiTheme="majorEastAsia" w:hAnsiTheme="majorEastAsia" w:eastAsiaTheme="majorEastAsia"/>
          <w:b w:val="0"/>
          <w:bCs w:val="0"/>
          <w:color w:val="252525"/>
          <w:kern w:val="0"/>
          <w:sz w:val="24"/>
          <w:szCs w:val="24"/>
        </w:rPr>
        <w:t>13</w:t>
      </w:r>
      <w:r>
        <w:rPr>
          <w:rFonts w:cs="Tahoma" w:asciiTheme="majorEastAsia" w:hAnsiTheme="majorEastAsia" w:eastAsiaTheme="majorEastAsia"/>
          <w:b w:val="0"/>
          <w:bCs w:val="0"/>
          <w:color w:val="252525"/>
          <w:kern w:val="0"/>
          <w:sz w:val="24"/>
          <w:szCs w:val="24"/>
        </w:rPr>
        <w:t>．入学前两年参加GMAT考试，成绩6</w:t>
      </w:r>
      <w:r>
        <w:rPr>
          <w:rFonts w:hint="eastAsia" w:cs="Tahoma" w:asciiTheme="majorEastAsia" w:hAnsiTheme="majorEastAsia" w:eastAsiaTheme="majorEastAsia"/>
          <w:b w:val="0"/>
          <w:bCs w:val="0"/>
          <w:color w:val="252525"/>
          <w:kern w:val="0"/>
          <w:sz w:val="24"/>
          <w:szCs w:val="24"/>
        </w:rPr>
        <w:t>3</w:t>
      </w:r>
      <w:r>
        <w:rPr>
          <w:rFonts w:cs="Tahoma" w:asciiTheme="majorEastAsia" w:hAnsiTheme="majorEastAsia" w:eastAsiaTheme="majorEastAsia"/>
          <w:b w:val="0"/>
          <w:bCs w:val="0"/>
          <w:color w:val="252525"/>
          <w:kern w:val="0"/>
          <w:sz w:val="24"/>
          <w:szCs w:val="24"/>
        </w:rPr>
        <w:t>0分及以上。</w:t>
      </w:r>
    </w:p>
    <w:p w14:paraId="4A60B900">
      <w:pPr>
        <w:spacing w:line="440" w:lineRule="exact"/>
        <w:ind w:firstLine="480" w:firstLineChars="200"/>
        <w:jc w:val="left"/>
        <w:rPr>
          <w:rFonts w:cs="Tahoma" w:asciiTheme="majorEastAsia" w:hAnsiTheme="majorEastAsia" w:eastAsiaTheme="majorEastAsia"/>
          <w:b w:val="0"/>
          <w:bCs w:val="0"/>
          <w:color w:val="252525"/>
          <w:kern w:val="0"/>
          <w:sz w:val="24"/>
          <w:szCs w:val="24"/>
        </w:rPr>
      </w:pPr>
      <w:bookmarkStart w:id="2" w:name="_Hlk136501301"/>
      <w:r>
        <w:rPr>
          <w:rFonts w:hint="eastAsia" w:cs="Tahoma" w:asciiTheme="majorEastAsia" w:hAnsiTheme="majorEastAsia" w:eastAsiaTheme="majorEastAsia"/>
          <w:b w:val="0"/>
          <w:bCs w:val="0"/>
          <w:color w:val="252525"/>
          <w:kern w:val="0"/>
          <w:sz w:val="24"/>
          <w:szCs w:val="24"/>
        </w:rPr>
        <w:t>公共英语免修请注意：</w:t>
      </w:r>
    </w:p>
    <w:p w14:paraId="67EB56D4">
      <w:pPr>
        <w:spacing w:line="440" w:lineRule="exact"/>
        <w:ind w:firstLine="480" w:firstLineChars="200"/>
        <w:jc w:val="left"/>
        <w:rPr>
          <w:rFonts w:ascii="仿宋" w:hAnsi="仿宋" w:eastAsia="仿宋" w:cs="仿宋"/>
          <w:b w:val="0"/>
          <w:bCs w:val="0"/>
          <w:color w:val="FF0000"/>
          <w:sz w:val="28"/>
          <w:szCs w:val="28"/>
          <w:u w:val="none"/>
        </w:rPr>
      </w:pPr>
      <w:r>
        <w:rPr>
          <w:rFonts w:hint="eastAsia" w:cs="Tahoma" w:asciiTheme="majorEastAsia" w:hAnsiTheme="majorEastAsia" w:eastAsiaTheme="majorEastAsia"/>
          <w:b w:val="0"/>
          <w:bCs w:val="0"/>
          <w:color w:val="252525"/>
          <w:kern w:val="0"/>
          <w:sz w:val="24"/>
          <w:szCs w:val="24"/>
        </w:rPr>
        <w:t>1.</w:t>
      </w:r>
      <w:r>
        <w:rPr>
          <w:rFonts w:cs="Tahoma" w:asciiTheme="majorEastAsia" w:hAnsiTheme="majorEastAsia" w:eastAsiaTheme="majorEastAsia"/>
          <w:b w:val="0"/>
          <w:bCs w:val="0"/>
          <w:color w:val="252525"/>
          <w:kern w:val="0"/>
          <w:sz w:val="24"/>
          <w:szCs w:val="24"/>
        </w:rPr>
        <w:t>研究生入学考试外语成绩70分及以上</w:t>
      </w:r>
      <w:r>
        <w:rPr>
          <w:rFonts w:hint="eastAsia" w:cs="Tahoma" w:asciiTheme="majorEastAsia" w:hAnsiTheme="majorEastAsia" w:eastAsiaTheme="majorEastAsia"/>
          <w:b w:val="0"/>
          <w:bCs w:val="0"/>
          <w:color w:val="252525"/>
          <w:kern w:val="0"/>
          <w:sz w:val="24"/>
          <w:szCs w:val="24"/>
        </w:rPr>
        <w:t>的，由研究生院培养办核定名单（见</w:t>
      </w:r>
      <w:r>
        <w:rPr>
          <w:rFonts w:hint="eastAsia" w:cs="Tahoma" w:asciiTheme="majorEastAsia" w:hAnsiTheme="majorEastAsia" w:eastAsiaTheme="majorEastAsia"/>
          <w:b w:val="0"/>
          <w:bCs w:val="0"/>
          <w:kern w:val="0"/>
          <w:sz w:val="24"/>
          <w:szCs w:val="24"/>
        </w:rPr>
        <w:t>《2026级博士公共外语免修名单》</w:t>
      </w:r>
      <w:r>
        <w:rPr>
          <w:rFonts w:hint="eastAsia" w:cs="Tahoma" w:asciiTheme="majorEastAsia" w:hAnsiTheme="majorEastAsia" w:eastAsiaTheme="majorEastAsia"/>
          <w:b w:val="0"/>
          <w:bCs w:val="0"/>
          <w:kern w:val="0"/>
          <w:sz w:val="24"/>
          <w:szCs w:val="24"/>
          <w:lang w:eastAsia="zh-CN"/>
        </w:rPr>
        <w:t>、《2026级硕士公共外语免修名单》</w:t>
      </w:r>
      <w:r>
        <w:rPr>
          <w:rFonts w:hint="eastAsia" w:cs="Tahoma" w:asciiTheme="majorEastAsia" w:hAnsiTheme="majorEastAsia" w:eastAsiaTheme="majorEastAsia"/>
          <w:b w:val="0"/>
          <w:bCs w:val="0"/>
          <w:kern w:val="0"/>
          <w:sz w:val="24"/>
          <w:szCs w:val="24"/>
        </w:rPr>
        <w:t>）</w:t>
      </w:r>
      <w:r>
        <w:rPr>
          <w:rFonts w:hint="eastAsia" w:cs="Tahoma" w:asciiTheme="majorEastAsia" w:hAnsiTheme="majorEastAsia" w:eastAsiaTheme="majorEastAsia"/>
          <w:b w:val="0"/>
          <w:bCs w:val="0"/>
          <w:color w:val="252525"/>
          <w:kern w:val="0"/>
          <w:sz w:val="24"/>
          <w:szCs w:val="24"/>
        </w:rPr>
        <w:t>，在研究生综合教育服务平台统一设置免修，个人不必申请，</w:t>
      </w:r>
      <w:r>
        <w:rPr>
          <w:rFonts w:hint="eastAsia" w:cs="Tahoma" w:asciiTheme="majorEastAsia" w:hAnsiTheme="majorEastAsia" w:eastAsiaTheme="majorEastAsia"/>
          <w:b w:val="0"/>
          <w:bCs w:val="0"/>
          <w:color w:val="252525"/>
          <w:kern w:val="0"/>
          <w:sz w:val="24"/>
          <w:szCs w:val="24"/>
          <w:u w:val="none"/>
        </w:rPr>
        <w:t>也不需要在选课系统里面选修公共英语课程。</w:t>
      </w:r>
    </w:p>
    <w:p w14:paraId="2D8E3487">
      <w:pPr>
        <w:spacing w:line="440" w:lineRule="exact"/>
        <w:ind w:firstLine="480" w:firstLineChars="200"/>
        <w:jc w:val="left"/>
        <w:rPr>
          <w:rFonts w:cs="Tahoma" w:asciiTheme="majorEastAsia" w:hAnsiTheme="majorEastAsia" w:eastAsiaTheme="majorEastAsia"/>
          <w:b w:val="0"/>
          <w:bCs w:val="0"/>
          <w:color w:val="252525"/>
          <w:kern w:val="0"/>
          <w:sz w:val="24"/>
          <w:szCs w:val="24"/>
        </w:rPr>
      </w:pPr>
      <w:r>
        <w:rPr>
          <w:rFonts w:hint="eastAsia" w:cs="Tahoma" w:asciiTheme="majorEastAsia" w:hAnsiTheme="majorEastAsia" w:eastAsiaTheme="majorEastAsia"/>
          <w:b w:val="0"/>
          <w:bCs w:val="0"/>
          <w:color w:val="252525"/>
          <w:kern w:val="0"/>
          <w:sz w:val="24"/>
          <w:szCs w:val="24"/>
        </w:rPr>
        <w:t>2.符合其他免修条件的研究生，必须在网上选课之前，在研究生综合服务教育平台申请免修（培养管理/免修免考申请）。</w:t>
      </w:r>
    </w:p>
    <w:bookmarkEnd w:id="2"/>
    <w:p w14:paraId="4381EB3F">
      <w:pPr>
        <w:spacing w:line="440" w:lineRule="exact"/>
        <w:ind w:firstLine="480" w:firstLineChars="200"/>
        <w:jc w:val="left"/>
        <w:rPr>
          <w:rFonts w:cs="Tahoma" w:asciiTheme="majorEastAsia" w:hAnsiTheme="majorEastAsia" w:eastAsiaTheme="majorEastAsia"/>
          <w:b w:val="0"/>
          <w:bCs w:val="0"/>
          <w:color w:val="252525"/>
          <w:kern w:val="0"/>
          <w:sz w:val="24"/>
          <w:szCs w:val="24"/>
        </w:rPr>
      </w:pPr>
      <w:r>
        <w:rPr>
          <w:rFonts w:hint="eastAsia" w:cs="Tahoma" w:asciiTheme="majorEastAsia" w:hAnsiTheme="majorEastAsia" w:eastAsiaTheme="majorEastAsia"/>
          <w:b w:val="0"/>
          <w:bCs w:val="0"/>
          <w:color w:val="252525"/>
          <w:kern w:val="0"/>
          <w:sz w:val="24"/>
          <w:szCs w:val="24"/>
        </w:rPr>
        <w:t>通过免修申请的博士、硕士研究生，学位公共外语成绩计90分，由培养办统一录入成绩，标记“免修”。</w:t>
      </w:r>
    </w:p>
    <w:p w14:paraId="18E7DE13">
      <w:pPr>
        <w:spacing w:line="440" w:lineRule="exact"/>
        <w:ind w:firstLine="480" w:firstLineChars="200"/>
        <w:jc w:val="left"/>
        <w:rPr>
          <w:rFonts w:cs="Tahoma" w:asciiTheme="majorEastAsia" w:hAnsiTheme="majorEastAsia" w:eastAsiaTheme="majorEastAsia"/>
          <w:b w:val="0"/>
          <w:bCs w:val="0"/>
          <w:color w:val="252525"/>
          <w:kern w:val="0"/>
          <w:sz w:val="24"/>
          <w:szCs w:val="24"/>
        </w:rPr>
      </w:pPr>
      <w:r>
        <w:rPr>
          <w:rFonts w:hint="eastAsia" w:cs="Tahoma" w:asciiTheme="majorEastAsia" w:hAnsiTheme="majorEastAsia" w:eastAsiaTheme="majorEastAsia"/>
          <w:b w:val="0"/>
          <w:bCs w:val="0"/>
          <w:color w:val="252525"/>
          <w:kern w:val="0"/>
          <w:sz w:val="24"/>
          <w:szCs w:val="24"/>
        </w:rPr>
        <w:t>请注意：202</w:t>
      </w:r>
      <w:r>
        <w:rPr>
          <w:rFonts w:hint="eastAsia" w:cs="Tahoma" w:asciiTheme="majorEastAsia" w:hAnsiTheme="majorEastAsia" w:eastAsiaTheme="majorEastAsia"/>
          <w:b w:val="0"/>
          <w:bCs w:val="0"/>
          <w:color w:val="252525"/>
          <w:kern w:val="0"/>
          <w:sz w:val="24"/>
          <w:szCs w:val="24"/>
          <w:lang w:val="en-US" w:eastAsia="zh-CN"/>
        </w:rPr>
        <w:t>6-2027</w:t>
      </w:r>
      <w:r>
        <w:rPr>
          <w:rFonts w:hint="eastAsia" w:cs="Tahoma" w:asciiTheme="majorEastAsia" w:hAnsiTheme="majorEastAsia" w:eastAsiaTheme="majorEastAsia"/>
          <w:b w:val="0"/>
          <w:bCs w:val="0"/>
          <w:color w:val="252525"/>
          <w:kern w:val="0"/>
          <w:sz w:val="24"/>
          <w:szCs w:val="24"/>
        </w:rPr>
        <w:t>学年秋季学安排全日制专硕公共英语， 202</w:t>
      </w:r>
      <w:r>
        <w:rPr>
          <w:rFonts w:hint="eastAsia" w:cs="Tahoma" w:asciiTheme="majorEastAsia" w:hAnsiTheme="majorEastAsia" w:eastAsiaTheme="majorEastAsia"/>
          <w:b w:val="0"/>
          <w:bCs w:val="0"/>
          <w:color w:val="252525"/>
          <w:kern w:val="0"/>
          <w:sz w:val="24"/>
          <w:szCs w:val="24"/>
          <w:lang w:val="en-US" w:eastAsia="zh-CN"/>
        </w:rPr>
        <w:t>6-2027</w:t>
      </w:r>
      <w:r>
        <w:rPr>
          <w:rFonts w:hint="eastAsia" w:cs="Tahoma" w:asciiTheme="majorEastAsia" w:hAnsiTheme="majorEastAsia" w:eastAsiaTheme="majorEastAsia"/>
          <w:b w:val="0"/>
          <w:bCs w:val="0"/>
          <w:color w:val="252525"/>
          <w:kern w:val="0"/>
          <w:sz w:val="24"/>
          <w:szCs w:val="24"/>
        </w:rPr>
        <w:t>学年春季学期安排学硕公共英语。</w:t>
      </w:r>
    </w:p>
    <w:p w14:paraId="6A2A9F4F">
      <w:pPr>
        <w:spacing w:line="440" w:lineRule="exact"/>
        <w:ind w:firstLine="480" w:firstLineChars="200"/>
        <w:jc w:val="left"/>
        <w:rPr>
          <w:rFonts w:hint="eastAsia" w:ascii="黑体" w:hAnsi="黑体" w:eastAsia="黑体" w:cs="黑体"/>
          <w:b w:val="0"/>
          <w:bCs w:val="0"/>
          <w:color w:val="252525"/>
          <w:kern w:val="0"/>
          <w:sz w:val="24"/>
          <w:szCs w:val="24"/>
        </w:rPr>
      </w:pPr>
      <w:r>
        <w:rPr>
          <w:rFonts w:hint="eastAsia" w:ascii="黑体" w:hAnsi="黑体" w:eastAsia="黑体" w:cs="黑体"/>
          <w:b w:val="0"/>
          <w:bCs w:val="0"/>
          <w:color w:val="252525"/>
          <w:kern w:val="0"/>
          <w:sz w:val="24"/>
          <w:szCs w:val="24"/>
        </w:rPr>
        <w:t>（二）公共政治课程</w:t>
      </w:r>
    </w:p>
    <w:p w14:paraId="4468436D">
      <w:pPr>
        <w:spacing w:line="440" w:lineRule="exact"/>
        <w:ind w:firstLine="480" w:firstLineChars="200"/>
        <w:jc w:val="left"/>
        <w:rPr>
          <w:rFonts w:cs="Tahoma" w:asciiTheme="majorEastAsia" w:hAnsiTheme="majorEastAsia" w:eastAsiaTheme="majorEastAsia"/>
          <w:b w:val="0"/>
          <w:bCs w:val="0"/>
          <w:color w:val="252525"/>
          <w:kern w:val="0"/>
          <w:sz w:val="24"/>
          <w:szCs w:val="24"/>
        </w:rPr>
      </w:pPr>
      <w:r>
        <w:rPr>
          <w:rFonts w:hint="eastAsia" w:cs="Tahoma" w:asciiTheme="majorEastAsia" w:hAnsiTheme="majorEastAsia" w:eastAsiaTheme="majorEastAsia"/>
          <w:b w:val="0"/>
          <w:bCs w:val="0"/>
          <w:color w:val="252525"/>
          <w:kern w:val="0"/>
          <w:sz w:val="24"/>
          <w:szCs w:val="24"/>
        </w:rPr>
        <w:t>博士生开设《中国马克思主义与当代》，</w:t>
      </w:r>
      <w:r>
        <w:rPr>
          <w:rFonts w:hint="eastAsia" w:asciiTheme="majorEastAsia" w:hAnsiTheme="majorEastAsia" w:eastAsiaTheme="majorEastAsia"/>
          <w:b w:val="0"/>
          <w:bCs w:val="0"/>
          <w:sz w:val="24"/>
        </w:rPr>
        <w:t>必修课，2学分</w:t>
      </w:r>
      <w:r>
        <w:rPr>
          <w:rFonts w:hint="eastAsia" w:cs="Tahoma" w:asciiTheme="majorEastAsia" w:hAnsiTheme="majorEastAsia" w:eastAsiaTheme="majorEastAsia"/>
          <w:b w:val="0"/>
          <w:bCs w:val="0"/>
          <w:color w:val="252525"/>
          <w:kern w:val="0"/>
          <w:sz w:val="24"/>
          <w:szCs w:val="24"/>
        </w:rPr>
        <w:t>；</w:t>
      </w:r>
    </w:p>
    <w:p w14:paraId="5D64BBAF">
      <w:pPr>
        <w:spacing w:line="440" w:lineRule="exact"/>
        <w:ind w:firstLine="480" w:firstLineChars="200"/>
        <w:jc w:val="left"/>
        <w:rPr>
          <w:rFonts w:cs="Tahoma" w:asciiTheme="majorEastAsia" w:hAnsiTheme="majorEastAsia" w:eastAsiaTheme="majorEastAsia"/>
          <w:b w:val="0"/>
          <w:bCs w:val="0"/>
          <w:color w:val="252525"/>
          <w:kern w:val="0"/>
          <w:sz w:val="24"/>
          <w:szCs w:val="24"/>
        </w:rPr>
      </w:pPr>
      <w:r>
        <w:rPr>
          <w:rFonts w:hint="eastAsia" w:cs="Tahoma" w:asciiTheme="majorEastAsia" w:hAnsiTheme="majorEastAsia" w:eastAsiaTheme="majorEastAsia"/>
          <w:b w:val="0"/>
          <w:bCs w:val="0"/>
          <w:color w:val="252525"/>
          <w:kern w:val="0"/>
          <w:sz w:val="24"/>
          <w:szCs w:val="24"/>
        </w:rPr>
        <w:t>硕士生开设《中国特色社会主义理论与实践研究》</w:t>
      </w:r>
      <w:r>
        <w:rPr>
          <w:rFonts w:hint="eastAsia" w:asciiTheme="majorEastAsia" w:hAnsiTheme="majorEastAsia" w:eastAsiaTheme="majorEastAsia"/>
          <w:b w:val="0"/>
          <w:bCs w:val="0"/>
          <w:sz w:val="24"/>
        </w:rPr>
        <w:t>必修课，2学分</w:t>
      </w:r>
      <w:r>
        <w:rPr>
          <w:rFonts w:hint="eastAsia" w:cs="Tahoma" w:asciiTheme="majorEastAsia" w:hAnsiTheme="majorEastAsia" w:eastAsiaTheme="majorEastAsia"/>
          <w:b w:val="0"/>
          <w:bCs w:val="0"/>
          <w:color w:val="252525"/>
          <w:kern w:val="0"/>
          <w:sz w:val="24"/>
          <w:szCs w:val="24"/>
        </w:rPr>
        <w:t>。《中国特色社会主义理论与实践研究》课程在秋季和春季学期均开课</w:t>
      </w:r>
      <w:r>
        <w:rPr>
          <w:rFonts w:hint="eastAsia" w:cs="Tahoma" w:asciiTheme="majorEastAsia" w:hAnsiTheme="majorEastAsia" w:eastAsiaTheme="majorEastAsia"/>
          <w:b w:val="0"/>
          <w:bCs w:val="0"/>
          <w:color w:val="252525"/>
          <w:kern w:val="0"/>
          <w:sz w:val="24"/>
          <w:szCs w:val="24"/>
          <w:lang w:eastAsia="zh-CN"/>
        </w:rPr>
        <w:t>：</w:t>
      </w:r>
      <w:r>
        <w:rPr>
          <w:rFonts w:hint="eastAsia" w:cs="Tahoma" w:asciiTheme="majorEastAsia" w:hAnsiTheme="majorEastAsia" w:eastAsiaTheme="majorEastAsia"/>
          <w:b w:val="0"/>
          <w:bCs w:val="0"/>
          <w:color w:val="252525"/>
          <w:kern w:val="0"/>
          <w:sz w:val="24"/>
          <w:szCs w:val="24"/>
        </w:rPr>
        <w:t>学术硕士的《中国特色社会主义理论与实践研究》课程在秋季学期开课选课；专业硕士的《中国特色社会主义理论与实践研究》课程在春季学期开课选课（MPA、MBA班除外）。</w:t>
      </w:r>
    </w:p>
    <w:p w14:paraId="142CA31D">
      <w:pPr>
        <w:spacing w:line="440" w:lineRule="exact"/>
        <w:ind w:firstLine="480" w:firstLineChars="200"/>
        <w:jc w:val="left"/>
        <w:rPr>
          <w:rFonts w:hint="eastAsia" w:ascii="黑体" w:hAnsi="黑体" w:eastAsia="黑体" w:cs="黑体"/>
          <w:b w:val="0"/>
          <w:bCs w:val="0"/>
          <w:color w:val="252525"/>
          <w:kern w:val="0"/>
          <w:sz w:val="24"/>
          <w:szCs w:val="24"/>
        </w:rPr>
      </w:pPr>
      <w:r>
        <w:rPr>
          <w:rFonts w:hint="eastAsia" w:ascii="黑体" w:hAnsi="黑体" w:eastAsia="黑体" w:cs="黑体"/>
          <w:b w:val="0"/>
          <w:bCs w:val="0"/>
          <w:color w:val="252525"/>
          <w:kern w:val="0"/>
          <w:sz w:val="24"/>
          <w:szCs w:val="24"/>
        </w:rPr>
        <w:t>（三）跨学科选修课</w:t>
      </w:r>
    </w:p>
    <w:p w14:paraId="0F7A500E">
      <w:pPr>
        <w:spacing w:line="440" w:lineRule="exact"/>
        <w:ind w:firstLine="480" w:firstLineChars="200"/>
        <w:jc w:val="left"/>
        <w:rPr>
          <w:rFonts w:cs="Tahoma" w:asciiTheme="majorEastAsia" w:hAnsiTheme="majorEastAsia" w:eastAsiaTheme="majorEastAsia"/>
          <w:b w:val="0"/>
          <w:bCs w:val="0"/>
          <w:color w:val="252525"/>
          <w:kern w:val="0"/>
          <w:sz w:val="24"/>
          <w:szCs w:val="24"/>
        </w:rPr>
      </w:pPr>
      <w:r>
        <w:rPr>
          <w:rFonts w:cs="Tahoma" w:asciiTheme="majorEastAsia" w:hAnsiTheme="majorEastAsia" w:eastAsiaTheme="majorEastAsia"/>
          <w:b w:val="0"/>
          <w:bCs w:val="0"/>
          <w:color w:val="252525"/>
          <w:kern w:val="0"/>
          <w:sz w:val="24"/>
          <w:szCs w:val="24"/>
        </w:rPr>
        <w:t>“</w:t>
      </w:r>
      <w:r>
        <w:rPr>
          <w:rFonts w:hint="eastAsia" w:cs="Tahoma" w:asciiTheme="majorEastAsia" w:hAnsiTheme="majorEastAsia" w:eastAsiaTheme="majorEastAsia"/>
          <w:b w:val="0"/>
          <w:bCs w:val="0"/>
          <w:color w:val="252525"/>
          <w:kern w:val="0"/>
          <w:sz w:val="24"/>
          <w:szCs w:val="24"/>
        </w:rPr>
        <w:t>F</w:t>
      </w:r>
      <w:r>
        <w:rPr>
          <w:rFonts w:cs="Tahoma" w:asciiTheme="majorEastAsia" w:hAnsiTheme="majorEastAsia" w:eastAsiaTheme="majorEastAsia"/>
          <w:b w:val="0"/>
          <w:bCs w:val="0"/>
          <w:color w:val="252525"/>
          <w:kern w:val="0"/>
          <w:sz w:val="24"/>
          <w:szCs w:val="24"/>
        </w:rPr>
        <w:t>跨学科选修课”</w:t>
      </w:r>
      <w:r>
        <w:rPr>
          <w:rFonts w:hint="eastAsia" w:cs="Tahoma" w:asciiTheme="majorEastAsia" w:hAnsiTheme="majorEastAsia" w:eastAsiaTheme="majorEastAsia"/>
          <w:b w:val="0"/>
          <w:bCs w:val="0"/>
          <w:color w:val="252525"/>
          <w:kern w:val="0"/>
          <w:sz w:val="24"/>
          <w:szCs w:val="24"/>
        </w:rPr>
        <w:t>在秋季和春季学期均开课，</w:t>
      </w:r>
      <w:r>
        <w:rPr>
          <w:rFonts w:cs="Tahoma" w:asciiTheme="majorEastAsia" w:hAnsiTheme="majorEastAsia" w:eastAsiaTheme="majorEastAsia"/>
          <w:b w:val="0"/>
          <w:bCs w:val="0"/>
          <w:color w:val="252525"/>
          <w:kern w:val="0"/>
          <w:sz w:val="24"/>
          <w:szCs w:val="24"/>
        </w:rPr>
        <w:t>20</w:t>
      </w:r>
      <w:r>
        <w:rPr>
          <w:rFonts w:hint="eastAsia" w:cs="Tahoma" w:asciiTheme="majorEastAsia" w:hAnsiTheme="majorEastAsia" w:eastAsiaTheme="majorEastAsia"/>
          <w:b w:val="0"/>
          <w:bCs w:val="0"/>
          <w:color w:val="252525"/>
          <w:kern w:val="0"/>
          <w:sz w:val="24"/>
          <w:szCs w:val="24"/>
        </w:rPr>
        <w:t>2</w:t>
      </w:r>
      <w:r>
        <w:rPr>
          <w:rFonts w:hint="eastAsia" w:cs="Tahoma" w:asciiTheme="majorEastAsia" w:hAnsiTheme="majorEastAsia" w:eastAsiaTheme="majorEastAsia"/>
          <w:b w:val="0"/>
          <w:bCs w:val="0"/>
          <w:color w:val="252525"/>
          <w:kern w:val="0"/>
          <w:sz w:val="24"/>
          <w:szCs w:val="24"/>
          <w:lang w:val="en-US" w:eastAsia="zh-CN"/>
        </w:rPr>
        <w:t>6</w:t>
      </w:r>
      <w:r>
        <w:rPr>
          <w:rFonts w:cs="Tahoma" w:asciiTheme="majorEastAsia" w:hAnsiTheme="majorEastAsia" w:eastAsiaTheme="majorEastAsia"/>
          <w:b w:val="0"/>
          <w:bCs w:val="0"/>
          <w:color w:val="252525"/>
          <w:kern w:val="0"/>
          <w:sz w:val="24"/>
          <w:szCs w:val="24"/>
        </w:rPr>
        <w:t>级</w:t>
      </w:r>
      <w:r>
        <w:rPr>
          <w:rFonts w:hint="eastAsia" w:cs="Tahoma" w:asciiTheme="majorEastAsia" w:hAnsiTheme="majorEastAsia" w:eastAsiaTheme="majorEastAsia"/>
          <w:b w:val="0"/>
          <w:bCs w:val="0"/>
          <w:color w:val="252525"/>
          <w:kern w:val="0"/>
          <w:sz w:val="24"/>
          <w:szCs w:val="24"/>
        </w:rPr>
        <w:t>学术硕士研究生可根据自己的学习时间在秋季或春季学期选修该类课程。本学期开设的</w:t>
      </w:r>
      <w:r>
        <w:rPr>
          <w:rFonts w:cs="Tahoma" w:asciiTheme="majorEastAsia" w:hAnsiTheme="majorEastAsia" w:eastAsiaTheme="majorEastAsia"/>
          <w:b w:val="0"/>
          <w:bCs w:val="0"/>
          <w:color w:val="252525"/>
          <w:kern w:val="0"/>
          <w:sz w:val="24"/>
          <w:szCs w:val="24"/>
        </w:rPr>
        <w:t>跨学科选修课见</w:t>
      </w:r>
      <w:r>
        <w:rPr>
          <w:rFonts w:hint="eastAsia" w:cs="Tahoma" w:asciiTheme="majorEastAsia" w:hAnsiTheme="majorEastAsia" w:eastAsiaTheme="majorEastAsia"/>
          <w:b w:val="0"/>
          <w:bCs w:val="0"/>
          <w:kern w:val="0"/>
          <w:sz w:val="24"/>
          <w:szCs w:val="24"/>
        </w:rPr>
        <w:t>《2026-2027学年秋季学期跨选课课表》。</w:t>
      </w:r>
    </w:p>
    <w:p w14:paraId="5E80367E">
      <w:pPr>
        <w:spacing w:line="440" w:lineRule="exact"/>
        <w:ind w:firstLine="480" w:firstLineChars="200"/>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w:t>
      </w:r>
      <w:r>
        <w:rPr>
          <w:rFonts w:hint="eastAsia" w:ascii="黑体" w:hAnsi="黑体" w:eastAsia="黑体" w:cs="黑体"/>
          <w:b w:val="0"/>
          <w:bCs w:val="0"/>
          <w:kern w:val="0"/>
          <w:sz w:val="24"/>
          <w:szCs w:val="24"/>
          <w:lang w:eastAsia="zh-CN"/>
        </w:rPr>
        <w:t>四</w:t>
      </w:r>
      <w:r>
        <w:rPr>
          <w:rFonts w:hint="eastAsia" w:ascii="黑体" w:hAnsi="黑体" w:eastAsia="黑体" w:cs="黑体"/>
          <w:b w:val="0"/>
          <w:bCs w:val="0"/>
          <w:kern w:val="0"/>
          <w:sz w:val="24"/>
          <w:szCs w:val="24"/>
        </w:rPr>
        <w:t>）国际研究生（博士和硕士）学位公共课程</w:t>
      </w:r>
    </w:p>
    <w:p w14:paraId="382F5EF9">
      <w:pPr>
        <w:spacing w:line="440" w:lineRule="exact"/>
        <w:ind w:firstLine="480" w:firstLineChars="200"/>
        <w:rPr>
          <w:rFonts w:hint="eastAsia" w:asciiTheme="majorEastAsia" w:hAnsiTheme="majorEastAsia" w:eastAsiaTheme="majorEastAsia"/>
          <w:b w:val="0"/>
          <w:bCs w:val="0"/>
          <w:sz w:val="24"/>
        </w:rPr>
      </w:pPr>
      <w:r>
        <w:rPr>
          <w:rFonts w:hint="eastAsia" w:asciiTheme="majorEastAsia" w:hAnsiTheme="majorEastAsia" w:eastAsiaTheme="majorEastAsia"/>
          <w:b w:val="0"/>
          <w:bCs w:val="0"/>
          <w:sz w:val="24"/>
        </w:rPr>
        <w:t>国际研究生（含博士和硕士）学位公共课程如下（必修4门，8学分）：</w:t>
      </w:r>
    </w:p>
    <w:p w14:paraId="23D6FFCC">
      <w:pPr>
        <w:spacing w:line="440" w:lineRule="exact"/>
        <w:ind w:firstLine="480" w:firstLineChars="200"/>
        <w:rPr>
          <w:rFonts w:hint="eastAsia" w:asciiTheme="majorEastAsia" w:hAnsiTheme="majorEastAsia" w:eastAsiaTheme="majorEastAsia"/>
          <w:b w:val="0"/>
          <w:bCs w:val="0"/>
          <w:sz w:val="24"/>
        </w:rPr>
      </w:pPr>
      <w:r>
        <w:rPr>
          <w:rFonts w:hint="eastAsia" w:asciiTheme="majorEastAsia" w:hAnsiTheme="majorEastAsia" w:eastAsiaTheme="majorEastAsia"/>
          <w:b w:val="0"/>
          <w:bCs w:val="0"/>
          <w:sz w:val="24"/>
        </w:rPr>
        <w:t>《中国概况》（中、英文国际生），必修课，2学分；</w:t>
      </w:r>
    </w:p>
    <w:p w14:paraId="0538F385">
      <w:pPr>
        <w:spacing w:line="440" w:lineRule="exact"/>
        <w:ind w:firstLine="480" w:firstLineChars="200"/>
        <w:rPr>
          <w:rFonts w:hint="eastAsia" w:asciiTheme="majorEastAsia" w:hAnsiTheme="majorEastAsia" w:eastAsiaTheme="majorEastAsia"/>
          <w:b w:val="0"/>
          <w:bCs w:val="0"/>
          <w:sz w:val="24"/>
        </w:rPr>
      </w:pPr>
      <w:r>
        <w:rPr>
          <w:rFonts w:hint="eastAsia" w:asciiTheme="majorEastAsia" w:hAnsiTheme="majorEastAsia" w:eastAsiaTheme="majorEastAsia"/>
          <w:b w:val="0"/>
          <w:bCs w:val="0"/>
          <w:sz w:val="24"/>
        </w:rPr>
        <w:t>《当代中国》（中、英文国际生），必修课，2学分；</w:t>
      </w:r>
    </w:p>
    <w:p w14:paraId="42A1878B">
      <w:pPr>
        <w:spacing w:line="440" w:lineRule="exact"/>
        <w:ind w:firstLine="480" w:firstLineChars="200"/>
        <w:rPr>
          <w:rFonts w:asciiTheme="majorEastAsia" w:hAnsiTheme="majorEastAsia" w:eastAsiaTheme="majorEastAsia"/>
          <w:b w:val="0"/>
          <w:bCs w:val="0"/>
          <w:sz w:val="24"/>
        </w:rPr>
      </w:pPr>
      <w:r>
        <w:rPr>
          <w:rFonts w:hint="eastAsia" w:asciiTheme="majorEastAsia" w:hAnsiTheme="majorEastAsia" w:eastAsiaTheme="majorEastAsia"/>
          <w:b w:val="0"/>
          <w:bCs w:val="0"/>
          <w:sz w:val="24"/>
        </w:rPr>
        <w:t>《高级汉语阅读》（中文国际生），必修课，2学分；</w:t>
      </w:r>
    </w:p>
    <w:p w14:paraId="41AA9E46">
      <w:pPr>
        <w:spacing w:line="440" w:lineRule="exact"/>
        <w:ind w:firstLine="480" w:firstLineChars="200"/>
        <w:rPr>
          <w:rFonts w:asciiTheme="majorEastAsia" w:hAnsiTheme="majorEastAsia" w:eastAsiaTheme="majorEastAsia"/>
          <w:b w:val="0"/>
          <w:bCs w:val="0"/>
          <w:sz w:val="24"/>
        </w:rPr>
      </w:pPr>
      <w:r>
        <w:rPr>
          <w:rFonts w:hint="eastAsia" w:asciiTheme="majorEastAsia" w:hAnsiTheme="majorEastAsia" w:eastAsiaTheme="majorEastAsia"/>
          <w:b w:val="0"/>
          <w:bCs w:val="0"/>
          <w:sz w:val="24"/>
        </w:rPr>
        <w:t>《高级汉语写作》（中文国际生），必修课，2学分；</w:t>
      </w:r>
    </w:p>
    <w:p w14:paraId="52EF3C87">
      <w:pPr>
        <w:spacing w:line="440" w:lineRule="exact"/>
        <w:ind w:firstLine="480" w:firstLineChars="200"/>
        <w:rPr>
          <w:rFonts w:asciiTheme="majorEastAsia" w:hAnsiTheme="majorEastAsia" w:eastAsiaTheme="majorEastAsia"/>
          <w:b w:val="0"/>
          <w:bCs w:val="0"/>
          <w:sz w:val="24"/>
        </w:rPr>
      </w:pPr>
      <w:r>
        <w:rPr>
          <w:rFonts w:hint="eastAsia" w:asciiTheme="majorEastAsia" w:hAnsiTheme="majorEastAsia" w:eastAsiaTheme="majorEastAsia"/>
          <w:b w:val="0"/>
          <w:bCs w:val="0"/>
          <w:sz w:val="24"/>
        </w:rPr>
        <w:t>《初级汉语综合（上）》（英文国际生），必修课，2学分；</w:t>
      </w:r>
    </w:p>
    <w:p w14:paraId="77B76633">
      <w:pPr>
        <w:spacing w:line="440" w:lineRule="exact"/>
        <w:ind w:firstLine="480" w:firstLineChars="200"/>
        <w:rPr>
          <w:rFonts w:cs="Tahoma" w:asciiTheme="majorEastAsia" w:hAnsiTheme="majorEastAsia" w:eastAsiaTheme="majorEastAsia"/>
          <w:b w:val="0"/>
          <w:bCs w:val="0"/>
          <w:kern w:val="0"/>
          <w:sz w:val="24"/>
          <w:szCs w:val="24"/>
        </w:rPr>
      </w:pPr>
      <w:r>
        <w:rPr>
          <w:rFonts w:hint="eastAsia" w:asciiTheme="majorEastAsia" w:hAnsiTheme="majorEastAsia" w:eastAsiaTheme="majorEastAsia"/>
          <w:b w:val="0"/>
          <w:bCs w:val="0"/>
          <w:sz w:val="24"/>
        </w:rPr>
        <w:t>《初级汉语综合（下）》（英文国际生），必修课，2学分。</w:t>
      </w:r>
    </w:p>
    <w:p w14:paraId="3AFCA36B">
      <w:pPr>
        <w:widowControl/>
        <w:numPr>
          <w:ilvl w:val="0"/>
          <w:numId w:val="0"/>
        </w:numPr>
        <w:spacing w:line="440" w:lineRule="exact"/>
        <w:ind w:firstLine="480" w:firstLineChars="200"/>
        <w:jc w:val="left"/>
        <w:rPr>
          <w:rFonts w:hint="eastAsia" w:ascii="黑体" w:hAnsi="黑体" w:eastAsia="黑体" w:cs="黑体"/>
          <w:b w:val="0"/>
          <w:bCs w:val="0"/>
          <w:color w:val="252525"/>
          <w:kern w:val="0"/>
          <w:sz w:val="24"/>
          <w:szCs w:val="24"/>
        </w:rPr>
      </w:pPr>
      <w:r>
        <w:rPr>
          <w:rFonts w:hint="eastAsia" w:ascii="黑体" w:hAnsi="黑体" w:eastAsia="黑体" w:cs="黑体"/>
          <w:b w:val="0"/>
          <w:bCs w:val="0"/>
          <w:color w:val="252525"/>
          <w:kern w:val="0"/>
          <w:sz w:val="24"/>
          <w:szCs w:val="24"/>
          <w:lang w:eastAsia="zh-CN"/>
        </w:rPr>
        <w:t>（五）网上选课</w:t>
      </w:r>
      <w:r>
        <w:rPr>
          <w:rFonts w:hint="eastAsia" w:ascii="黑体" w:hAnsi="黑体" w:eastAsia="黑体" w:cs="黑体"/>
          <w:b w:val="0"/>
          <w:bCs w:val="0"/>
          <w:color w:val="252525"/>
          <w:kern w:val="0"/>
          <w:sz w:val="24"/>
          <w:szCs w:val="24"/>
          <w:lang w:val="en-US" w:eastAsia="zh-CN"/>
        </w:rPr>
        <w:t>时间</w:t>
      </w:r>
      <w:r>
        <w:rPr>
          <w:rFonts w:hint="eastAsia" w:ascii="黑体" w:hAnsi="黑体" w:eastAsia="黑体" w:cs="黑体"/>
          <w:b w:val="0"/>
          <w:bCs w:val="0"/>
          <w:color w:val="252525"/>
          <w:kern w:val="0"/>
          <w:sz w:val="24"/>
          <w:szCs w:val="24"/>
          <w:lang w:eastAsia="zh-CN"/>
        </w:rPr>
        <w:t>安排</w:t>
      </w:r>
    </w:p>
    <w:p w14:paraId="23E5300A">
      <w:pPr>
        <w:widowControl/>
        <w:numPr>
          <w:ilvl w:val="0"/>
          <w:numId w:val="0"/>
        </w:numPr>
        <w:spacing w:line="440" w:lineRule="exact"/>
        <w:ind w:firstLine="480" w:firstLineChars="200"/>
        <w:jc w:val="left"/>
        <w:rPr>
          <w:rFonts w:hint="eastAsia" w:cs="Tahoma" w:asciiTheme="majorEastAsia" w:hAnsiTheme="majorEastAsia" w:eastAsiaTheme="majorEastAsia"/>
          <w:b w:val="0"/>
          <w:bCs w:val="0"/>
          <w:color w:val="252525"/>
          <w:kern w:val="0"/>
          <w:sz w:val="24"/>
          <w:szCs w:val="24"/>
        </w:rPr>
      </w:pPr>
      <w:r>
        <w:rPr>
          <w:rFonts w:cs="Tahoma" w:asciiTheme="majorEastAsia" w:hAnsiTheme="majorEastAsia" w:eastAsiaTheme="majorEastAsia"/>
          <w:b w:val="0"/>
          <w:bCs w:val="0"/>
          <w:color w:val="252525"/>
          <w:kern w:val="0"/>
          <w:sz w:val="24"/>
          <w:szCs w:val="24"/>
        </w:rPr>
        <w:t>网上</w:t>
      </w:r>
      <w:r>
        <w:rPr>
          <w:rFonts w:hint="eastAsia" w:cs="Tahoma" w:asciiTheme="majorEastAsia" w:hAnsiTheme="majorEastAsia" w:eastAsiaTheme="majorEastAsia"/>
          <w:b w:val="0"/>
          <w:bCs w:val="0"/>
          <w:color w:val="252525"/>
          <w:kern w:val="0"/>
          <w:sz w:val="24"/>
          <w:szCs w:val="24"/>
          <w:lang w:val="en-US" w:eastAsia="zh-CN"/>
        </w:rPr>
        <w:t>2026级</w:t>
      </w:r>
      <w:r>
        <w:rPr>
          <w:rFonts w:hint="eastAsia" w:cs="Tahoma" w:asciiTheme="majorEastAsia" w:hAnsiTheme="majorEastAsia" w:eastAsiaTheme="majorEastAsia"/>
          <w:b w:val="0"/>
          <w:bCs w:val="0"/>
          <w:color w:val="252525"/>
          <w:kern w:val="0"/>
          <w:sz w:val="24"/>
          <w:szCs w:val="24"/>
        </w:rPr>
        <w:t>新生</w:t>
      </w:r>
      <w:r>
        <w:rPr>
          <w:rFonts w:cs="Tahoma" w:asciiTheme="majorEastAsia" w:hAnsiTheme="majorEastAsia" w:eastAsiaTheme="majorEastAsia"/>
          <w:b w:val="0"/>
          <w:bCs w:val="0"/>
          <w:color w:val="252525"/>
          <w:kern w:val="0"/>
          <w:sz w:val="24"/>
          <w:szCs w:val="24"/>
        </w:rPr>
        <w:t>选课</w:t>
      </w:r>
      <w:r>
        <w:rPr>
          <w:rFonts w:hint="eastAsia" w:cs="Tahoma" w:asciiTheme="majorEastAsia" w:hAnsiTheme="majorEastAsia" w:eastAsiaTheme="majorEastAsia"/>
          <w:b w:val="0"/>
          <w:bCs w:val="0"/>
          <w:color w:val="252525"/>
          <w:kern w:val="0"/>
          <w:sz w:val="24"/>
          <w:szCs w:val="24"/>
        </w:rPr>
        <w:t>初次</w:t>
      </w:r>
      <w:r>
        <w:rPr>
          <w:rFonts w:cs="Tahoma" w:asciiTheme="majorEastAsia" w:hAnsiTheme="majorEastAsia" w:eastAsiaTheme="majorEastAsia"/>
          <w:b w:val="0"/>
          <w:bCs w:val="0"/>
          <w:color w:val="252525"/>
          <w:kern w:val="0"/>
          <w:sz w:val="24"/>
          <w:szCs w:val="24"/>
        </w:rPr>
        <w:t>开放时间：9月15-</w:t>
      </w:r>
      <w:r>
        <w:rPr>
          <w:rFonts w:hint="eastAsia" w:cs="Tahoma" w:asciiTheme="majorEastAsia" w:hAnsiTheme="majorEastAsia" w:eastAsiaTheme="majorEastAsia"/>
          <w:b w:val="0"/>
          <w:bCs w:val="0"/>
          <w:color w:val="252525"/>
          <w:kern w:val="0"/>
          <w:sz w:val="24"/>
          <w:szCs w:val="24"/>
          <w:lang w:val="en-US" w:eastAsia="zh-CN"/>
        </w:rPr>
        <w:t>20</w:t>
      </w:r>
      <w:r>
        <w:rPr>
          <w:rFonts w:cs="Tahoma" w:asciiTheme="majorEastAsia" w:hAnsiTheme="majorEastAsia" w:eastAsiaTheme="majorEastAsia"/>
          <w:b w:val="0"/>
          <w:bCs w:val="0"/>
          <w:color w:val="252525"/>
          <w:kern w:val="0"/>
          <w:sz w:val="24"/>
          <w:szCs w:val="24"/>
        </w:rPr>
        <w:t>日。</w:t>
      </w:r>
      <w:r>
        <w:rPr>
          <w:rFonts w:hint="eastAsia" w:cs="Tahoma" w:asciiTheme="majorEastAsia" w:hAnsiTheme="majorEastAsia" w:eastAsiaTheme="majorEastAsia"/>
          <w:b w:val="0"/>
          <w:bCs w:val="0"/>
          <w:color w:val="252525"/>
          <w:kern w:val="0"/>
          <w:sz w:val="24"/>
          <w:szCs w:val="24"/>
        </w:rPr>
        <w:t>新生补选退选时间</w:t>
      </w:r>
      <w:r>
        <w:rPr>
          <w:rFonts w:cs="Tahoma" w:asciiTheme="majorEastAsia" w:hAnsiTheme="majorEastAsia" w:eastAsiaTheme="majorEastAsia"/>
          <w:b w:val="0"/>
          <w:bCs w:val="0"/>
          <w:color w:val="252525"/>
          <w:kern w:val="0"/>
          <w:sz w:val="24"/>
          <w:szCs w:val="24"/>
        </w:rPr>
        <w:t>：9月20-30</w:t>
      </w:r>
      <w:r>
        <w:rPr>
          <w:rFonts w:hint="eastAsia" w:cs="Tahoma" w:asciiTheme="majorEastAsia" w:hAnsiTheme="majorEastAsia" w:eastAsiaTheme="majorEastAsia"/>
          <w:b w:val="0"/>
          <w:bCs w:val="0"/>
          <w:color w:val="252525"/>
          <w:kern w:val="0"/>
          <w:sz w:val="24"/>
          <w:szCs w:val="24"/>
        </w:rPr>
        <w:t>日。研究生网上选课需在学院指导安排下进行，具体操作流程详见附件《浙江师范大学【研究生选课】操作指南（新生）》。</w:t>
      </w:r>
    </w:p>
    <w:p w14:paraId="01039601">
      <w:pPr>
        <w:widowControl/>
        <w:spacing w:line="440" w:lineRule="exact"/>
        <w:ind w:firstLine="480" w:firstLineChars="200"/>
        <w:jc w:val="left"/>
        <w:rPr>
          <w:rFonts w:cs="Tahoma" w:asciiTheme="majorEastAsia" w:hAnsiTheme="majorEastAsia" w:eastAsiaTheme="majorEastAsia"/>
          <w:b w:val="0"/>
          <w:bCs w:val="0"/>
          <w:color w:val="auto"/>
          <w:kern w:val="0"/>
          <w:sz w:val="24"/>
          <w:szCs w:val="24"/>
        </w:rPr>
      </w:pPr>
    </w:p>
    <w:p w14:paraId="019E531F">
      <w:pPr>
        <w:widowControl/>
        <w:spacing w:line="440" w:lineRule="exact"/>
        <w:ind w:firstLine="480" w:firstLineChars="200"/>
        <w:jc w:val="left"/>
        <w:rPr>
          <w:rFonts w:hint="eastAsia" w:ascii="黑体" w:hAnsi="黑体" w:eastAsia="黑体" w:cs="黑体"/>
          <w:b w:val="0"/>
          <w:bCs w:val="0"/>
          <w:color w:val="auto"/>
          <w:kern w:val="0"/>
          <w:sz w:val="24"/>
          <w:szCs w:val="24"/>
        </w:rPr>
      </w:pPr>
      <w:r>
        <w:rPr>
          <w:rFonts w:hint="eastAsia" w:ascii="黑体" w:hAnsi="黑体" w:eastAsia="黑体" w:cs="黑体"/>
          <w:b w:val="0"/>
          <w:bCs w:val="0"/>
          <w:color w:val="auto"/>
          <w:kern w:val="0"/>
          <w:sz w:val="24"/>
          <w:szCs w:val="24"/>
          <w:lang w:val="en-US" w:eastAsia="zh-CN"/>
        </w:rPr>
        <w:t>四</w:t>
      </w:r>
      <w:r>
        <w:rPr>
          <w:rFonts w:hint="eastAsia" w:ascii="黑体" w:hAnsi="黑体" w:eastAsia="黑体" w:cs="黑体"/>
          <w:b w:val="0"/>
          <w:bCs w:val="0"/>
          <w:color w:val="auto"/>
          <w:kern w:val="0"/>
          <w:sz w:val="24"/>
          <w:szCs w:val="24"/>
        </w:rPr>
        <w:t>、研究生证与学生优惠票</w:t>
      </w:r>
    </w:p>
    <w:p w14:paraId="31E78CED">
      <w:pPr>
        <w:widowControl/>
        <w:spacing w:line="440" w:lineRule="exact"/>
        <w:ind w:firstLine="480" w:firstLineChars="200"/>
        <w:jc w:val="left"/>
        <w:rPr>
          <w:rFonts w:cs="Tahoma" w:asciiTheme="majorEastAsia" w:hAnsiTheme="majorEastAsia" w:eastAsiaTheme="majorEastAsia"/>
          <w:b w:val="0"/>
          <w:bCs w:val="0"/>
          <w:color w:val="auto"/>
          <w:kern w:val="0"/>
          <w:sz w:val="24"/>
          <w:szCs w:val="24"/>
        </w:rPr>
      </w:pPr>
      <w:r>
        <w:rPr>
          <w:rFonts w:hint="eastAsia" w:cs="Tahoma" w:asciiTheme="majorEastAsia" w:hAnsiTheme="majorEastAsia" w:eastAsiaTheme="majorEastAsia"/>
          <w:b w:val="0"/>
          <w:bCs w:val="0"/>
          <w:color w:val="auto"/>
          <w:kern w:val="0"/>
          <w:sz w:val="24"/>
          <w:szCs w:val="24"/>
        </w:rPr>
        <w:t>了解“研究生证”填写与补办及“学生优惠票”使用的说明。</w:t>
      </w:r>
    </w:p>
    <w:p w14:paraId="1B163C13">
      <w:pPr>
        <w:widowControl/>
        <w:spacing w:line="440" w:lineRule="exact"/>
        <w:ind w:firstLine="480" w:firstLineChars="200"/>
        <w:jc w:val="left"/>
        <w:rPr>
          <w:rFonts w:hint="eastAsia" w:ascii="黑体" w:hAnsi="黑体" w:eastAsia="黑体" w:cs="黑体"/>
          <w:b w:val="0"/>
          <w:bCs w:val="0"/>
          <w:color w:val="auto"/>
          <w:kern w:val="0"/>
          <w:sz w:val="24"/>
          <w:szCs w:val="24"/>
        </w:rPr>
      </w:pPr>
      <w:r>
        <w:rPr>
          <w:rFonts w:hint="eastAsia" w:ascii="黑体" w:hAnsi="黑体" w:eastAsia="黑体" w:cs="黑体"/>
          <w:b w:val="0"/>
          <w:bCs w:val="0"/>
          <w:color w:val="auto"/>
          <w:kern w:val="0"/>
          <w:sz w:val="24"/>
          <w:szCs w:val="24"/>
        </w:rPr>
        <w:t>（一）“研究生证”填写与补办说明</w:t>
      </w:r>
    </w:p>
    <w:p w14:paraId="3F0B532C">
      <w:pPr>
        <w:widowControl/>
        <w:spacing w:line="440" w:lineRule="exact"/>
        <w:ind w:firstLine="480" w:firstLineChars="200"/>
        <w:jc w:val="left"/>
        <w:rPr>
          <w:rFonts w:cs="Tahoma" w:asciiTheme="majorEastAsia" w:hAnsiTheme="majorEastAsia" w:eastAsiaTheme="majorEastAsia"/>
          <w:b w:val="0"/>
          <w:bCs w:val="0"/>
          <w:color w:val="auto"/>
          <w:kern w:val="0"/>
          <w:sz w:val="24"/>
          <w:szCs w:val="24"/>
        </w:rPr>
      </w:pPr>
      <w:r>
        <w:rPr>
          <w:rFonts w:hint="eastAsia" w:cs="Tahoma" w:asciiTheme="majorEastAsia" w:hAnsiTheme="majorEastAsia" w:eastAsiaTheme="majorEastAsia"/>
          <w:b w:val="0"/>
          <w:bCs w:val="0"/>
          <w:color w:val="auto"/>
          <w:kern w:val="0"/>
          <w:sz w:val="24"/>
          <w:szCs w:val="24"/>
        </w:rPr>
        <w:t>研究生证是研究生身份的证明，是参加学习和其他活动的重要凭证，必须认真填写，妥善保管。为规范研究生证的补办，特作以下说明：</w:t>
      </w:r>
    </w:p>
    <w:p w14:paraId="30828BE6">
      <w:pPr>
        <w:widowControl/>
        <w:spacing w:line="440" w:lineRule="exact"/>
        <w:ind w:firstLine="480" w:firstLineChars="200"/>
        <w:jc w:val="left"/>
        <w:rPr>
          <w:rFonts w:cs="Tahoma" w:asciiTheme="majorEastAsia" w:hAnsiTheme="majorEastAsia" w:eastAsiaTheme="majorEastAsia"/>
          <w:b w:val="0"/>
          <w:bCs w:val="0"/>
          <w:color w:val="auto"/>
          <w:kern w:val="0"/>
          <w:sz w:val="24"/>
          <w:szCs w:val="24"/>
        </w:rPr>
      </w:pPr>
      <w:r>
        <w:rPr>
          <w:rFonts w:hint="eastAsia" w:cs="Tahoma" w:asciiTheme="majorEastAsia" w:hAnsiTheme="majorEastAsia" w:eastAsiaTheme="majorEastAsia"/>
          <w:b w:val="0"/>
          <w:bCs w:val="0"/>
          <w:color w:val="auto"/>
          <w:kern w:val="0"/>
          <w:sz w:val="24"/>
          <w:szCs w:val="24"/>
        </w:rPr>
        <w:t>1.研究生证上每一项须用碳水笔认真填写，字迹清楚。</w:t>
      </w:r>
    </w:p>
    <w:p w14:paraId="1B3DCEAC">
      <w:pPr>
        <w:widowControl/>
        <w:spacing w:line="440" w:lineRule="exact"/>
        <w:ind w:firstLine="480" w:firstLineChars="200"/>
        <w:jc w:val="left"/>
        <w:rPr>
          <w:rFonts w:cs="Tahoma" w:asciiTheme="majorEastAsia" w:hAnsiTheme="majorEastAsia" w:eastAsiaTheme="majorEastAsia"/>
          <w:b w:val="0"/>
          <w:bCs w:val="0"/>
          <w:color w:val="auto"/>
          <w:kern w:val="0"/>
          <w:sz w:val="24"/>
          <w:szCs w:val="24"/>
        </w:rPr>
      </w:pPr>
      <w:r>
        <w:rPr>
          <w:rFonts w:hint="eastAsia" w:cs="Tahoma" w:asciiTheme="majorEastAsia" w:hAnsiTheme="majorEastAsia" w:eastAsiaTheme="majorEastAsia"/>
          <w:b w:val="0"/>
          <w:bCs w:val="0"/>
          <w:color w:val="auto"/>
          <w:kern w:val="0"/>
          <w:sz w:val="24"/>
          <w:szCs w:val="24"/>
        </w:rPr>
        <w:t>2.享有学生优惠票的研究生，自行在学生证乘车区间位置填写家庭居住地至院校（实习地点）所在地车站名称。</w:t>
      </w:r>
    </w:p>
    <w:p w14:paraId="2D2E6757">
      <w:pPr>
        <w:widowControl/>
        <w:spacing w:line="440" w:lineRule="exact"/>
        <w:ind w:firstLine="480" w:firstLineChars="200"/>
        <w:jc w:val="left"/>
        <w:rPr>
          <w:rFonts w:cs="Tahoma" w:asciiTheme="majorEastAsia" w:hAnsiTheme="majorEastAsia" w:eastAsiaTheme="majorEastAsia"/>
          <w:b w:val="0"/>
          <w:bCs w:val="0"/>
          <w:color w:val="auto"/>
          <w:kern w:val="0"/>
          <w:sz w:val="24"/>
          <w:szCs w:val="24"/>
        </w:rPr>
      </w:pPr>
      <w:r>
        <w:rPr>
          <w:rFonts w:hint="eastAsia" w:cs="Tahoma" w:asciiTheme="majorEastAsia" w:hAnsiTheme="majorEastAsia" w:eastAsiaTheme="majorEastAsia"/>
          <w:b w:val="0"/>
          <w:bCs w:val="0"/>
          <w:color w:val="auto"/>
          <w:kern w:val="0"/>
          <w:sz w:val="24"/>
          <w:szCs w:val="24"/>
        </w:rPr>
        <w:t>3.研究生证的补办由所在学院审核。申请者向所在学院提交补办申请表，经所在学院审核同意后填写研究生证具体信息并贴上照片，所在学院汇总后到研究生院培养办办理盖章。</w:t>
      </w:r>
    </w:p>
    <w:p w14:paraId="683F39B0">
      <w:pPr>
        <w:widowControl/>
        <w:spacing w:line="440" w:lineRule="exact"/>
        <w:ind w:firstLine="480" w:firstLineChars="200"/>
        <w:jc w:val="left"/>
        <w:rPr>
          <w:rFonts w:cs="Tahoma" w:asciiTheme="majorEastAsia" w:hAnsiTheme="majorEastAsia" w:eastAsiaTheme="majorEastAsia"/>
          <w:b w:val="0"/>
          <w:bCs w:val="0"/>
          <w:color w:val="auto"/>
          <w:kern w:val="0"/>
          <w:sz w:val="24"/>
          <w:szCs w:val="24"/>
        </w:rPr>
      </w:pPr>
      <w:r>
        <w:rPr>
          <w:rFonts w:hint="eastAsia" w:cs="Tahoma" w:asciiTheme="majorEastAsia" w:hAnsiTheme="majorEastAsia" w:eastAsiaTheme="majorEastAsia"/>
          <w:b w:val="0"/>
          <w:bCs w:val="0"/>
          <w:color w:val="auto"/>
          <w:kern w:val="0"/>
          <w:sz w:val="24"/>
          <w:szCs w:val="24"/>
        </w:rPr>
        <w:t xml:space="preserve">4．补办研究生证可以通过校网上办事大厅-研究生学生证补办进行申请。网址：http://ehall.zjnu.edu.cn/new/indexzjnu.html?type=server&amp;appid=5697452713637941。   </w:t>
      </w:r>
    </w:p>
    <w:p w14:paraId="5C9500E8">
      <w:pPr>
        <w:widowControl/>
        <w:spacing w:line="440" w:lineRule="exact"/>
        <w:ind w:firstLine="480" w:firstLineChars="200"/>
        <w:jc w:val="left"/>
        <w:rPr>
          <w:rFonts w:hint="eastAsia" w:ascii="黑体" w:hAnsi="黑体" w:eastAsia="黑体" w:cs="黑体"/>
          <w:b w:val="0"/>
          <w:bCs w:val="0"/>
          <w:color w:val="auto"/>
          <w:kern w:val="0"/>
          <w:sz w:val="24"/>
          <w:szCs w:val="24"/>
        </w:rPr>
      </w:pPr>
      <w:r>
        <w:rPr>
          <w:rFonts w:hint="eastAsia" w:cs="Tahoma" w:asciiTheme="majorEastAsia" w:hAnsiTheme="majorEastAsia" w:eastAsiaTheme="majorEastAsia"/>
          <w:b w:val="0"/>
          <w:bCs w:val="0"/>
          <w:color w:val="auto"/>
          <w:kern w:val="0"/>
          <w:sz w:val="24"/>
          <w:szCs w:val="24"/>
        </w:rPr>
        <w:t> </w:t>
      </w:r>
      <w:r>
        <w:rPr>
          <w:rFonts w:hint="eastAsia" w:ascii="黑体" w:hAnsi="黑体" w:eastAsia="黑体" w:cs="黑体"/>
          <w:b w:val="0"/>
          <w:bCs w:val="0"/>
          <w:color w:val="auto"/>
          <w:kern w:val="0"/>
          <w:sz w:val="24"/>
          <w:szCs w:val="24"/>
        </w:rPr>
        <w:t>（二）“学生优惠票”使用说明</w:t>
      </w:r>
    </w:p>
    <w:p w14:paraId="5B50BAAB">
      <w:pPr>
        <w:widowControl/>
        <w:spacing w:line="440" w:lineRule="exact"/>
        <w:ind w:firstLine="480" w:firstLineChars="200"/>
        <w:jc w:val="left"/>
        <w:rPr>
          <w:rFonts w:cs="Tahoma" w:asciiTheme="majorEastAsia" w:hAnsiTheme="majorEastAsia" w:eastAsiaTheme="majorEastAsia"/>
          <w:b w:val="0"/>
          <w:bCs w:val="0"/>
          <w:color w:val="auto"/>
          <w:kern w:val="0"/>
          <w:sz w:val="24"/>
          <w:szCs w:val="24"/>
        </w:rPr>
      </w:pPr>
      <w:r>
        <w:rPr>
          <w:rFonts w:hint="eastAsia" w:cs="Tahoma" w:asciiTheme="majorEastAsia" w:hAnsiTheme="majorEastAsia" w:eastAsiaTheme="majorEastAsia"/>
          <w:b w:val="0"/>
          <w:bCs w:val="0"/>
          <w:color w:val="auto"/>
          <w:kern w:val="0"/>
          <w:sz w:val="24"/>
          <w:szCs w:val="24"/>
        </w:rPr>
        <w:t>为了帮助研究生更好地了解学生优惠票的使用，特作以下说明：</w:t>
      </w:r>
    </w:p>
    <w:p w14:paraId="43160BA9">
      <w:pPr>
        <w:widowControl/>
        <w:spacing w:line="440" w:lineRule="exact"/>
        <w:ind w:firstLine="480" w:firstLineChars="200"/>
        <w:jc w:val="left"/>
        <w:rPr>
          <w:rFonts w:cs="Tahoma" w:asciiTheme="majorEastAsia" w:hAnsiTheme="majorEastAsia" w:eastAsiaTheme="majorEastAsia"/>
          <w:b w:val="0"/>
          <w:bCs w:val="0"/>
          <w:color w:val="auto"/>
          <w:kern w:val="0"/>
          <w:sz w:val="24"/>
          <w:szCs w:val="24"/>
        </w:rPr>
      </w:pPr>
      <w:r>
        <w:rPr>
          <w:rFonts w:hint="eastAsia" w:cs="Tahoma" w:asciiTheme="majorEastAsia" w:hAnsiTheme="majorEastAsia" w:eastAsiaTheme="majorEastAsia"/>
          <w:b w:val="0"/>
          <w:bCs w:val="0"/>
          <w:color w:val="auto"/>
          <w:kern w:val="0"/>
          <w:sz w:val="24"/>
          <w:szCs w:val="24"/>
        </w:rPr>
        <w:t>1.根据教育部、铁道部教学厅【2003】1号文件规定，“家庭和学校不在同一地，可乘火车回家或返校，且没有工资收入”的研究生可享有学生优惠票。非全日制研究生和定向全日制研究生不享受此优惠。</w:t>
      </w:r>
    </w:p>
    <w:p w14:paraId="3FCA2E8F">
      <w:pPr>
        <w:widowControl/>
        <w:spacing w:line="440" w:lineRule="exact"/>
        <w:ind w:firstLine="480" w:firstLineChars="200"/>
        <w:jc w:val="left"/>
        <w:rPr>
          <w:rFonts w:cs="Tahoma" w:asciiTheme="majorEastAsia" w:hAnsiTheme="majorEastAsia" w:eastAsiaTheme="majorEastAsia"/>
          <w:b w:val="0"/>
          <w:bCs w:val="0"/>
          <w:color w:val="auto"/>
          <w:kern w:val="0"/>
          <w:sz w:val="24"/>
          <w:szCs w:val="24"/>
        </w:rPr>
      </w:pPr>
      <w:r>
        <w:rPr>
          <w:rFonts w:hint="eastAsia" w:cs="Tahoma" w:asciiTheme="majorEastAsia" w:hAnsiTheme="majorEastAsia" w:eastAsiaTheme="majorEastAsia"/>
          <w:b w:val="0"/>
          <w:bCs w:val="0"/>
          <w:color w:val="auto"/>
          <w:kern w:val="0"/>
          <w:sz w:val="24"/>
          <w:szCs w:val="24"/>
        </w:rPr>
        <w:t>2.学生可在1</w:t>
      </w:r>
      <w:r>
        <w:rPr>
          <w:rFonts w:cs="Tahoma" w:asciiTheme="majorEastAsia" w:hAnsiTheme="majorEastAsia" w:eastAsiaTheme="majorEastAsia"/>
          <w:b w:val="0"/>
          <w:bCs w:val="0"/>
          <w:color w:val="auto"/>
          <w:kern w:val="0"/>
          <w:sz w:val="24"/>
          <w:szCs w:val="24"/>
        </w:rPr>
        <w:t>2306</w:t>
      </w:r>
      <w:r>
        <w:rPr>
          <w:rFonts w:hint="eastAsia" w:cs="Tahoma" w:asciiTheme="majorEastAsia" w:hAnsiTheme="majorEastAsia" w:eastAsiaTheme="majorEastAsia"/>
          <w:b w:val="0"/>
          <w:bCs w:val="0"/>
          <w:color w:val="auto"/>
          <w:kern w:val="0"/>
          <w:sz w:val="24"/>
          <w:szCs w:val="24"/>
        </w:rPr>
        <w:t>官方A</w:t>
      </w:r>
      <w:r>
        <w:rPr>
          <w:rFonts w:cs="Tahoma" w:asciiTheme="majorEastAsia" w:hAnsiTheme="majorEastAsia" w:eastAsiaTheme="majorEastAsia"/>
          <w:b w:val="0"/>
          <w:bCs w:val="0"/>
          <w:color w:val="auto"/>
          <w:kern w:val="0"/>
          <w:sz w:val="24"/>
          <w:szCs w:val="24"/>
        </w:rPr>
        <w:t>PP</w:t>
      </w:r>
      <w:r>
        <w:rPr>
          <w:rFonts w:hint="eastAsia" w:cs="Tahoma" w:asciiTheme="majorEastAsia" w:hAnsiTheme="majorEastAsia" w:eastAsiaTheme="majorEastAsia"/>
          <w:b w:val="0"/>
          <w:bCs w:val="0"/>
          <w:color w:val="auto"/>
          <w:kern w:val="0"/>
          <w:sz w:val="24"/>
          <w:szCs w:val="24"/>
        </w:rPr>
        <w:t>学生优惠资质核验专区填写相关优惠信息（姓名、证件号码、学校和家庭所在地、预计毕业年份）-提交审核后，购买学生优惠票即可。新生通过线上购买学生票后，可持身份证和录取通知书到窗口进行资质核验，刷身份证进站乘车。如未进行线下核验，则凭录取通知书从人工检票口进站乘车。</w:t>
      </w:r>
    </w:p>
    <w:p w14:paraId="4A1242F2">
      <w:pPr>
        <w:widowControl/>
        <w:spacing w:line="440" w:lineRule="exact"/>
        <w:ind w:firstLine="480" w:firstLineChars="200"/>
        <w:jc w:val="left"/>
        <w:rPr>
          <w:rFonts w:cs="Tahoma" w:asciiTheme="majorEastAsia" w:hAnsiTheme="majorEastAsia" w:eastAsiaTheme="majorEastAsia"/>
          <w:b w:val="0"/>
          <w:bCs w:val="0"/>
          <w:color w:val="auto"/>
          <w:kern w:val="0"/>
          <w:sz w:val="24"/>
          <w:szCs w:val="24"/>
        </w:rPr>
      </w:pPr>
      <w:r>
        <w:rPr>
          <w:rFonts w:hint="eastAsia" w:cs="Tahoma" w:asciiTheme="majorEastAsia" w:hAnsiTheme="majorEastAsia" w:eastAsiaTheme="majorEastAsia"/>
          <w:b w:val="0"/>
          <w:bCs w:val="0"/>
          <w:color w:val="auto"/>
          <w:kern w:val="0"/>
          <w:sz w:val="24"/>
          <w:szCs w:val="24"/>
        </w:rPr>
        <w:t>3.学生可在每学年（1</w:t>
      </w:r>
      <w:r>
        <w:rPr>
          <w:rFonts w:cs="Tahoma" w:asciiTheme="majorEastAsia" w:hAnsiTheme="majorEastAsia" w:eastAsiaTheme="majorEastAsia"/>
          <w:b w:val="0"/>
          <w:bCs w:val="0"/>
          <w:color w:val="auto"/>
          <w:kern w:val="0"/>
          <w:sz w:val="24"/>
          <w:szCs w:val="24"/>
        </w:rPr>
        <w:t>0</w:t>
      </w:r>
      <w:r>
        <w:rPr>
          <w:rFonts w:hint="eastAsia" w:cs="Tahoma" w:asciiTheme="majorEastAsia" w:hAnsiTheme="majorEastAsia" w:eastAsiaTheme="majorEastAsia"/>
          <w:b w:val="0"/>
          <w:bCs w:val="0"/>
          <w:color w:val="auto"/>
          <w:kern w:val="0"/>
          <w:sz w:val="24"/>
          <w:szCs w:val="24"/>
        </w:rPr>
        <w:t>月1日至次年9月3</w:t>
      </w:r>
      <w:r>
        <w:rPr>
          <w:rFonts w:cs="Tahoma" w:asciiTheme="majorEastAsia" w:hAnsiTheme="majorEastAsia" w:eastAsiaTheme="majorEastAsia"/>
          <w:b w:val="0"/>
          <w:bCs w:val="0"/>
          <w:color w:val="auto"/>
          <w:kern w:val="0"/>
          <w:sz w:val="24"/>
          <w:szCs w:val="24"/>
        </w:rPr>
        <w:t>0</w:t>
      </w:r>
      <w:r>
        <w:rPr>
          <w:rFonts w:hint="eastAsia" w:cs="Tahoma" w:asciiTheme="majorEastAsia" w:hAnsiTheme="majorEastAsia" w:eastAsiaTheme="majorEastAsia"/>
          <w:b w:val="0"/>
          <w:bCs w:val="0"/>
          <w:color w:val="auto"/>
          <w:kern w:val="0"/>
          <w:sz w:val="24"/>
          <w:szCs w:val="24"/>
        </w:rPr>
        <w:t>日）购买家庭居住地至院校（实习地点）所在地之间四次单程的学生优惠票。当年优惠次数使用完后来年自动更新。</w:t>
      </w:r>
    </w:p>
    <w:sectPr>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BAA"/>
    <w:rsid w:val="0000324E"/>
    <w:rsid w:val="00005452"/>
    <w:rsid w:val="00007C45"/>
    <w:rsid w:val="0001016F"/>
    <w:rsid w:val="000151C0"/>
    <w:rsid w:val="00022EBE"/>
    <w:rsid w:val="00025086"/>
    <w:rsid w:val="000257E2"/>
    <w:rsid w:val="00027093"/>
    <w:rsid w:val="00033DDA"/>
    <w:rsid w:val="000536C0"/>
    <w:rsid w:val="0005530C"/>
    <w:rsid w:val="00056EC1"/>
    <w:rsid w:val="0006280C"/>
    <w:rsid w:val="000647DB"/>
    <w:rsid w:val="000675F4"/>
    <w:rsid w:val="00072D83"/>
    <w:rsid w:val="000774CA"/>
    <w:rsid w:val="00077546"/>
    <w:rsid w:val="0008117C"/>
    <w:rsid w:val="000837C3"/>
    <w:rsid w:val="000937F6"/>
    <w:rsid w:val="000A34FB"/>
    <w:rsid w:val="000B4BF2"/>
    <w:rsid w:val="000B6101"/>
    <w:rsid w:val="000F4A9F"/>
    <w:rsid w:val="000F67B7"/>
    <w:rsid w:val="00127BC0"/>
    <w:rsid w:val="001327A8"/>
    <w:rsid w:val="00136E6D"/>
    <w:rsid w:val="0014570C"/>
    <w:rsid w:val="00166033"/>
    <w:rsid w:val="001912A9"/>
    <w:rsid w:val="001938B4"/>
    <w:rsid w:val="001A09D3"/>
    <w:rsid w:val="001A16BC"/>
    <w:rsid w:val="001D03E5"/>
    <w:rsid w:val="001D62D8"/>
    <w:rsid w:val="001E6C2B"/>
    <w:rsid w:val="001E6D89"/>
    <w:rsid w:val="001F4E8E"/>
    <w:rsid w:val="001F7815"/>
    <w:rsid w:val="0020601D"/>
    <w:rsid w:val="00232463"/>
    <w:rsid w:val="00232F37"/>
    <w:rsid w:val="002521F2"/>
    <w:rsid w:val="00260ED3"/>
    <w:rsid w:val="002643A4"/>
    <w:rsid w:val="00264EAC"/>
    <w:rsid w:val="002656B4"/>
    <w:rsid w:val="00286EE7"/>
    <w:rsid w:val="002E6394"/>
    <w:rsid w:val="00300974"/>
    <w:rsid w:val="00300B5B"/>
    <w:rsid w:val="00300C3E"/>
    <w:rsid w:val="00302D7A"/>
    <w:rsid w:val="00306E29"/>
    <w:rsid w:val="00320E10"/>
    <w:rsid w:val="00331F10"/>
    <w:rsid w:val="003459E6"/>
    <w:rsid w:val="003A20D0"/>
    <w:rsid w:val="003B3368"/>
    <w:rsid w:val="003D3C5F"/>
    <w:rsid w:val="003E17AC"/>
    <w:rsid w:val="003F21C9"/>
    <w:rsid w:val="003F2299"/>
    <w:rsid w:val="00403C3D"/>
    <w:rsid w:val="00404FB4"/>
    <w:rsid w:val="00420DDB"/>
    <w:rsid w:val="004345B5"/>
    <w:rsid w:val="00434764"/>
    <w:rsid w:val="00442B68"/>
    <w:rsid w:val="004575F4"/>
    <w:rsid w:val="00470B2F"/>
    <w:rsid w:val="004A6AE9"/>
    <w:rsid w:val="004B4ED6"/>
    <w:rsid w:val="004B5244"/>
    <w:rsid w:val="004C597F"/>
    <w:rsid w:val="004C61E5"/>
    <w:rsid w:val="004D6711"/>
    <w:rsid w:val="004E3061"/>
    <w:rsid w:val="004E647F"/>
    <w:rsid w:val="004F542A"/>
    <w:rsid w:val="0050732A"/>
    <w:rsid w:val="00522162"/>
    <w:rsid w:val="005230EF"/>
    <w:rsid w:val="005318E6"/>
    <w:rsid w:val="005377FB"/>
    <w:rsid w:val="005402E6"/>
    <w:rsid w:val="00541806"/>
    <w:rsid w:val="005421FA"/>
    <w:rsid w:val="005659A2"/>
    <w:rsid w:val="00573753"/>
    <w:rsid w:val="00586276"/>
    <w:rsid w:val="00586465"/>
    <w:rsid w:val="005A2078"/>
    <w:rsid w:val="005B0D52"/>
    <w:rsid w:val="005F0859"/>
    <w:rsid w:val="005F236C"/>
    <w:rsid w:val="005F4901"/>
    <w:rsid w:val="00607187"/>
    <w:rsid w:val="00614D6F"/>
    <w:rsid w:val="00624565"/>
    <w:rsid w:val="00633F59"/>
    <w:rsid w:val="00645C84"/>
    <w:rsid w:val="00660BDC"/>
    <w:rsid w:val="00660C21"/>
    <w:rsid w:val="00662E7C"/>
    <w:rsid w:val="006747F7"/>
    <w:rsid w:val="00681FD8"/>
    <w:rsid w:val="00691EF3"/>
    <w:rsid w:val="006949DB"/>
    <w:rsid w:val="006E3A4A"/>
    <w:rsid w:val="006E434D"/>
    <w:rsid w:val="006F751D"/>
    <w:rsid w:val="00705EF0"/>
    <w:rsid w:val="0071678E"/>
    <w:rsid w:val="00722F88"/>
    <w:rsid w:val="0074144E"/>
    <w:rsid w:val="007473E5"/>
    <w:rsid w:val="00791377"/>
    <w:rsid w:val="007928E5"/>
    <w:rsid w:val="00794A17"/>
    <w:rsid w:val="007D14A0"/>
    <w:rsid w:val="007D7411"/>
    <w:rsid w:val="007F266C"/>
    <w:rsid w:val="00822D12"/>
    <w:rsid w:val="00827550"/>
    <w:rsid w:val="008304AD"/>
    <w:rsid w:val="0084123C"/>
    <w:rsid w:val="00872E74"/>
    <w:rsid w:val="00880E14"/>
    <w:rsid w:val="00896466"/>
    <w:rsid w:val="008A399A"/>
    <w:rsid w:val="008A5DD5"/>
    <w:rsid w:val="008B2F6D"/>
    <w:rsid w:val="008B3C9C"/>
    <w:rsid w:val="008B7AAC"/>
    <w:rsid w:val="008C1F38"/>
    <w:rsid w:val="008C7B10"/>
    <w:rsid w:val="008E3833"/>
    <w:rsid w:val="008F43D8"/>
    <w:rsid w:val="008F5E2B"/>
    <w:rsid w:val="00924699"/>
    <w:rsid w:val="00925632"/>
    <w:rsid w:val="00927B8A"/>
    <w:rsid w:val="00935883"/>
    <w:rsid w:val="0093791B"/>
    <w:rsid w:val="0094738D"/>
    <w:rsid w:val="00960E6C"/>
    <w:rsid w:val="009710BC"/>
    <w:rsid w:val="00972F5F"/>
    <w:rsid w:val="00981235"/>
    <w:rsid w:val="009837C5"/>
    <w:rsid w:val="00997D41"/>
    <w:rsid w:val="009A5479"/>
    <w:rsid w:val="009A7161"/>
    <w:rsid w:val="009B372C"/>
    <w:rsid w:val="009D1466"/>
    <w:rsid w:val="009D440D"/>
    <w:rsid w:val="009D56C1"/>
    <w:rsid w:val="009D5E84"/>
    <w:rsid w:val="009E355F"/>
    <w:rsid w:val="009F2B55"/>
    <w:rsid w:val="009F4777"/>
    <w:rsid w:val="00A0552B"/>
    <w:rsid w:val="00A056CD"/>
    <w:rsid w:val="00A14AE7"/>
    <w:rsid w:val="00A14B40"/>
    <w:rsid w:val="00A31E85"/>
    <w:rsid w:val="00A3342D"/>
    <w:rsid w:val="00A34586"/>
    <w:rsid w:val="00A34E47"/>
    <w:rsid w:val="00A4373D"/>
    <w:rsid w:val="00A43E1E"/>
    <w:rsid w:val="00A7684B"/>
    <w:rsid w:val="00A97664"/>
    <w:rsid w:val="00AA0186"/>
    <w:rsid w:val="00AA192E"/>
    <w:rsid w:val="00AB4056"/>
    <w:rsid w:val="00AC48E0"/>
    <w:rsid w:val="00AC7C10"/>
    <w:rsid w:val="00AD0FB6"/>
    <w:rsid w:val="00AD1CD1"/>
    <w:rsid w:val="00AF0C0C"/>
    <w:rsid w:val="00AF25B6"/>
    <w:rsid w:val="00B1180B"/>
    <w:rsid w:val="00B2258D"/>
    <w:rsid w:val="00B7351E"/>
    <w:rsid w:val="00B9039C"/>
    <w:rsid w:val="00B9103F"/>
    <w:rsid w:val="00BB164C"/>
    <w:rsid w:val="00BB562A"/>
    <w:rsid w:val="00BD1874"/>
    <w:rsid w:val="00BE3A6E"/>
    <w:rsid w:val="00BE643B"/>
    <w:rsid w:val="00C23B8F"/>
    <w:rsid w:val="00C32ACD"/>
    <w:rsid w:val="00C40098"/>
    <w:rsid w:val="00C4019A"/>
    <w:rsid w:val="00C43433"/>
    <w:rsid w:val="00C434E7"/>
    <w:rsid w:val="00C4424C"/>
    <w:rsid w:val="00C61F0F"/>
    <w:rsid w:val="00CB06CA"/>
    <w:rsid w:val="00CB2CCB"/>
    <w:rsid w:val="00CD21CF"/>
    <w:rsid w:val="00CE2B7E"/>
    <w:rsid w:val="00D11FE3"/>
    <w:rsid w:val="00D343B3"/>
    <w:rsid w:val="00D37331"/>
    <w:rsid w:val="00D83BAA"/>
    <w:rsid w:val="00D91E2D"/>
    <w:rsid w:val="00DD576C"/>
    <w:rsid w:val="00DE1A6D"/>
    <w:rsid w:val="00DE31FA"/>
    <w:rsid w:val="00E06374"/>
    <w:rsid w:val="00E23AE0"/>
    <w:rsid w:val="00E2432D"/>
    <w:rsid w:val="00E24FF7"/>
    <w:rsid w:val="00E33FB3"/>
    <w:rsid w:val="00E3437A"/>
    <w:rsid w:val="00E62A75"/>
    <w:rsid w:val="00E72266"/>
    <w:rsid w:val="00E72A54"/>
    <w:rsid w:val="00E84E07"/>
    <w:rsid w:val="00EA001B"/>
    <w:rsid w:val="00EA0496"/>
    <w:rsid w:val="00EB1620"/>
    <w:rsid w:val="00EE7FAE"/>
    <w:rsid w:val="00EF1D7A"/>
    <w:rsid w:val="00EF3C4D"/>
    <w:rsid w:val="00EF7F86"/>
    <w:rsid w:val="00F00FB5"/>
    <w:rsid w:val="00F27E83"/>
    <w:rsid w:val="00F3206F"/>
    <w:rsid w:val="00F432EF"/>
    <w:rsid w:val="00F44C14"/>
    <w:rsid w:val="00F500A1"/>
    <w:rsid w:val="00F50C3D"/>
    <w:rsid w:val="00F548D1"/>
    <w:rsid w:val="00F55FC9"/>
    <w:rsid w:val="00F6380C"/>
    <w:rsid w:val="00F776A0"/>
    <w:rsid w:val="00F91B2E"/>
    <w:rsid w:val="00FA6901"/>
    <w:rsid w:val="00FA6E35"/>
    <w:rsid w:val="00FA71B0"/>
    <w:rsid w:val="00FA7BCE"/>
    <w:rsid w:val="00FC4003"/>
    <w:rsid w:val="00FE2372"/>
    <w:rsid w:val="00FE6166"/>
    <w:rsid w:val="00FF2F45"/>
    <w:rsid w:val="04F8420A"/>
    <w:rsid w:val="0DEE4410"/>
    <w:rsid w:val="0EFD1B4C"/>
    <w:rsid w:val="106F459F"/>
    <w:rsid w:val="40E711B1"/>
    <w:rsid w:val="7DC64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5"/>
    <w:unhideWhenUsed/>
    <w:qFormat/>
    <w:uiPriority w:val="99"/>
    <w:rPr>
      <w:rFonts w:ascii="宋体" w:hAnsi="Courier New" w:eastAsia="宋体" w:cs="Times New Roman"/>
      <w:szCs w:val="20"/>
    </w:r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FollowedHyperlink"/>
    <w:basedOn w:val="8"/>
    <w:semiHidden/>
    <w:unhideWhenUsed/>
    <w:qFormat/>
    <w:uiPriority w:val="99"/>
    <w:rPr>
      <w:color w:val="800080" w:themeColor="followedHyperlink"/>
      <w:u w:val="single"/>
      <w14:textFill>
        <w14:solidFill>
          <w14:schemeClr w14:val="folHlink"/>
        </w14:solidFill>
      </w14:textFill>
    </w:rPr>
  </w:style>
  <w:style w:type="character" w:styleId="11">
    <w:name w:val="Hyperlink"/>
    <w:basedOn w:val="8"/>
    <w:unhideWhenUsed/>
    <w:qFormat/>
    <w:uiPriority w:val="99"/>
    <w:rPr>
      <w:color w:val="0000FF" w:themeColor="hyperlink"/>
      <w:u w:val="single"/>
      <w14:textFill>
        <w14:solidFill>
          <w14:schemeClr w14:val="hlink"/>
        </w14:solidFill>
      </w14:textFill>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批注框文本 字符"/>
    <w:basedOn w:val="8"/>
    <w:link w:val="3"/>
    <w:semiHidden/>
    <w:qFormat/>
    <w:uiPriority w:val="99"/>
    <w:rPr>
      <w:sz w:val="18"/>
      <w:szCs w:val="18"/>
    </w:rPr>
  </w:style>
  <w:style w:type="character" w:customStyle="1" w:styleId="15">
    <w:name w:val="纯文本 字符"/>
    <w:basedOn w:val="8"/>
    <w:link w:val="2"/>
    <w:qFormat/>
    <w:uiPriority w:val="99"/>
    <w:rPr>
      <w:rFonts w:ascii="宋体" w:hAnsi="Courier New" w:eastAsia="宋体" w:cs="Times New Roman"/>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2597</Words>
  <Characters>2840</Characters>
  <Lines>26</Lines>
  <Paragraphs>7</Paragraphs>
  <TotalTime>22</TotalTime>
  <ScaleCrop>false</ScaleCrop>
  <LinksUpToDate>false</LinksUpToDate>
  <CharactersWithSpaces>2850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2023-10-07T01:10:00Z</dcterms:created>
  <dc:creator>lou</dc:creator>
  <cp:lastModifiedBy>张艳</cp:lastModifiedBy>
  <dcterms:modified xsi:type="dcterms:W3CDTF">2026-09-08T08:03:49Z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eyJoZGlkIjoiYzA2OWU3MmVjODIzOWE0MjgxNjk5Y2M4OGE2ODhmNDUiLCJ1c2VySWQiOiIxNzM4MTI4MjMwIn0=</vt:lpwstr>
  </property>
  <property fmtid="{D5CDD505-2E9C-101B-9397-08002B2CF9AE}" pid="3" name="KSOProductBuildVer">
    <vt:lpwstr>2052-12.1.0.28043</vt:lpwstr>
  </property>
  <property fmtid="{D5CDD505-2E9C-101B-9397-08002B2CF9AE}" pid="4" name="ICV">
    <vt:lpwstr>04FECCFE77E84958AF5466F640AAC4FB_12</vt:lpwstr>
  </property>
</Properties>
</file>