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ind w:left="1565"/>
        <w:spacing w:before="101" w:line="418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6"/>
          <w:position w:val="1"/>
        </w:rPr>
        <w:t>附件</w:t>
      </w:r>
      <w:r>
        <w:rPr>
          <w:rFonts w:ascii="SimHei" w:hAnsi="SimHei" w:eastAsia="SimHei" w:cs="SimHei"/>
          <w:sz w:val="31"/>
          <w:szCs w:val="31"/>
          <w:spacing w:val="-36"/>
          <w:position w:val="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6"/>
          <w:position w:val="1"/>
        </w:rPr>
        <w:t>1</w:t>
      </w:r>
    </w:p>
    <w:p>
      <w:pPr>
        <w:spacing w:line="441" w:lineRule="auto"/>
        <w:rPr>
          <w:rFonts w:ascii="Arial"/>
          <w:sz w:val="21"/>
        </w:rPr>
      </w:pPr>
      <w:r/>
    </w:p>
    <w:p>
      <w:pPr>
        <w:ind w:left="2328"/>
        <w:spacing w:before="140" w:line="576" w:lineRule="exact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4"/>
          <w:position w:val="2"/>
        </w:rPr>
        <w:t>浙江省高等教育</w:t>
      </w:r>
      <w:r>
        <w:rPr>
          <w:rFonts w:ascii="SimSun" w:hAnsi="SimSun" w:eastAsia="SimSun" w:cs="SimSun"/>
          <w:sz w:val="43"/>
          <w:szCs w:val="43"/>
          <w:spacing w:val="-89"/>
          <w:position w:val="2"/>
        </w:rPr>
        <w:t xml:space="preserve"> </w:t>
      </w:r>
      <w:r>
        <w:rPr>
          <w:rFonts w:ascii="Times New Roman" w:hAnsi="Times New Roman" w:eastAsia="Times New Roman" w:cs="Times New Roman"/>
          <w:sz w:val="43"/>
          <w:szCs w:val="43"/>
          <w:spacing w:val="4"/>
          <w:position w:val="2"/>
        </w:rPr>
        <w:t>2026 </w:t>
      </w:r>
      <w:r>
        <w:rPr>
          <w:rFonts w:ascii="SimSun" w:hAnsi="SimSun" w:eastAsia="SimSun" w:cs="SimSun"/>
          <w:sz w:val="43"/>
          <w:szCs w:val="43"/>
          <w:b/>
          <w:bCs/>
          <w:spacing w:val="4"/>
          <w:position w:val="2"/>
        </w:rPr>
        <w:t>年教学改革项目</w:t>
      </w:r>
    </w:p>
    <w:p>
      <w:pPr>
        <w:ind w:left="5075"/>
        <w:spacing w:before="50" w:line="223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选题指南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1543" w:right="1531" w:firstLine="636"/>
        <w:spacing w:before="101" w:line="332" w:lineRule="auto"/>
        <w:jc w:val="both"/>
        <w:rPr/>
      </w:pPr>
      <w:r>
        <w:rPr>
          <w:spacing w:val="11"/>
        </w:rPr>
        <w:t>根据《教育强国建设规划纲要（</w:t>
      </w:r>
      <w:r>
        <w:rPr>
          <w:rFonts w:ascii="Times New Roman" w:hAnsi="Times New Roman" w:eastAsia="Times New Roman" w:cs="Times New Roman"/>
          <w:spacing w:val="11"/>
        </w:rPr>
        <w:t>2024</w:t>
      </w:r>
      <w:r>
        <w:rPr>
          <w:spacing w:val="11"/>
        </w:rPr>
        <w:t>—</w:t>
      </w:r>
      <w:r>
        <w:rPr>
          <w:rFonts w:ascii="Times New Roman" w:hAnsi="Times New Roman" w:eastAsia="Times New Roman" w:cs="Times New Roman"/>
          <w:spacing w:val="11"/>
        </w:rPr>
        <w:t>2035</w:t>
      </w:r>
      <w:r>
        <w:rPr>
          <w:rFonts w:ascii="Times New Roman" w:hAnsi="Times New Roman" w:eastAsia="Times New Roman" w:cs="Times New Roman"/>
          <w:spacing w:val="44"/>
        </w:rPr>
        <w:t xml:space="preserve"> </w:t>
      </w:r>
      <w:r>
        <w:rPr>
          <w:spacing w:val="11"/>
        </w:rPr>
        <w:t>年）》《教育</w:t>
      </w:r>
      <w:r>
        <w:rPr>
          <w:spacing w:val="5"/>
        </w:rPr>
        <w:t>发展“十五五”规划》《加快建设教育强国三年行动计划（</w:t>
      </w:r>
      <w:r>
        <w:rPr>
          <w:rFonts w:ascii="Times New Roman" w:hAnsi="Times New Roman" w:eastAsia="Times New Roman" w:cs="Times New Roman"/>
          <w:spacing w:val="4"/>
        </w:rPr>
        <w:t>2025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12"/>
        </w:rPr>
        <w:t>—</w:t>
      </w:r>
      <w:r>
        <w:rPr>
          <w:rFonts w:ascii="Times New Roman" w:hAnsi="Times New Roman" w:eastAsia="Times New Roman" w:cs="Times New Roman"/>
          <w:spacing w:val="12"/>
        </w:rPr>
        <w:t>2027</w:t>
      </w:r>
      <w:r>
        <w:rPr>
          <w:rFonts w:ascii="Times New Roman" w:hAnsi="Times New Roman" w:eastAsia="Times New Roman" w:cs="Times New Roman"/>
          <w:spacing w:val="34"/>
          <w:w w:val="101"/>
        </w:rPr>
        <w:t xml:space="preserve"> </w:t>
      </w:r>
      <w:r>
        <w:rPr>
          <w:spacing w:val="12"/>
        </w:rPr>
        <w:t>年）》等部署要求，全面梳理分析国家级教学成果奖获</w:t>
      </w:r>
      <w:r>
        <w:rPr>
          <w:spacing w:val="5"/>
        </w:rPr>
        <w:t>奖项目，结合我省高等教育教学关键堵点及未来趋势，提出</w:t>
      </w:r>
      <w:r>
        <w:rPr>
          <w:rFonts w:ascii="Times New Roman" w:hAnsi="Times New Roman" w:eastAsia="Times New Roman" w:cs="Times New Roman"/>
          <w:spacing w:val="5"/>
        </w:rPr>
        <w:t>2026</w:t>
      </w:r>
      <w:r>
        <w:rPr>
          <w:spacing w:val="6"/>
        </w:rPr>
        <w:t>年省级教学改革项目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12 </w:t>
      </w:r>
      <w:r>
        <w:rPr>
          <w:spacing w:val="6"/>
        </w:rPr>
        <w:t>个方面的参考选题方向。</w:t>
      </w:r>
    </w:p>
    <w:p>
      <w:pPr>
        <w:ind w:left="2194"/>
        <w:spacing w:before="62" w:line="225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一、构建“大思政</w:t>
      </w:r>
      <w:r>
        <w:rPr>
          <w:rFonts w:ascii="SimHei" w:hAnsi="SimHei" w:eastAsia="SimHei" w:cs="SimHei"/>
          <w:sz w:val="31"/>
          <w:szCs w:val="31"/>
          <w:spacing w:val="-102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”育人格局</w:t>
      </w:r>
    </w:p>
    <w:p>
      <w:pPr>
        <w:pStyle w:val="BodyText"/>
        <w:ind w:left="1535" w:right="1531" w:firstLine="674"/>
        <w:spacing w:before="135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数智时代“大思政课”协同育人格局构建</w:t>
      </w:r>
      <w:r>
        <w:rPr>
          <w:spacing w:val="6"/>
        </w:rPr>
        <w:t>与深度融合路径</w:t>
      </w:r>
      <w:r>
        <w:rPr>
          <w:spacing w:val="4"/>
        </w:rPr>
        <w:t>研究；</w:t>
      </w:r>
    </w:p>
    <w:p>
      <w:pPr>
        <w:pStyle w:val="BodyText"/>
        <w:ind w:left="1546" w:right="1558" w:firstLine="632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2"/>
        </w:rPr>
        <w:t>2.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2"/>
        </w:rPr>
        <w:t>“大思政课”实践教学体系改革，社会实践、</w:t>
      </w:r>
      <w:r>
        <w:rPr>
          <w:spacing w:val="-86"/>
        </w:rPr>
        <w:t xml:space="preserve"> </w:t>
      </w:r>
      <w:r>
        <w:rPr>
          <w:spacing w:val="2"/>
        </w:rPr>
        <w:t>田野调查、</w:t>
      </w:r>
      <w:r>
        <w:rPr>
          <w:spacing w:val="8"/>
        </w:rPr>
        <w:t>企业现场教学、红色研学等融合育人模式；</w:t>
      </w:r>
    </w:p>
    <w:p>
      <w:pPr>
        <w:pStyle w:val="BodyText"/>
        <w:ind w:left="2185"/>
        <w:spacing w:before="137" w:line="419" w:lineRule="exact"/>
        <w:rPr/>
      </w:pPr>
      <w:r>
        <w:rPr>
          <w:rFonts w:ascii="Times New Roman" w:hAnsi="Times New Roman" w:eastAsia="Times New Roman" w:cs="Times New Roman"/>
          <w:spacing w:val="6"/>
          <w:position w:val="2"/>
        </w:rPr>
        <w:t>3.</w:t>
      </w:r>
      <w:r>
        <w:rPr>
          <w:rFonts w:ascii="Times New Roman" w:hAnsi="Times New Roman" w:eastAsia="Times New Roman" w:cs="Times New Roman"/>
          <w:spacing w:val="-16"/>
          <w:position w:val="2"/>
        </w:rPr>
        <w:t xml:space="preserve"> </w:t>
      </w:r>
      <w:r>
        <w:rPr>
          <w:spacing w:val="6"/>
          <w:position w:val="2"/>
        </w:rPr>
        <w:t>习近平总书记分领域思想融入专业课程研究与实践；</w:t>
      </w:r>
    </w:p>
    <w:p>
      <w:pPr>
        <w:pStyle w:val="BodyText"/>
        <w:ind w:left="1553" w:right="1533" w:firstLine="623"/>
        <w:spacing w:before="143" w:line="292" w:lineRule="auto"/>
        <w:rPr/>
      </w:pPr>
      <w:r>
        <w:rPr>
          <w:rFonts w:ascii="Times New Roman" w:hAnsi="Times New Roman" w:eastAsia="Times New Roman" w:cs="Times New Roman"/>
          <w:spacing w:val="17"/>
        </w:rPr>
        <w:t>4.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spacing w:val="17"/>
        </w:rPr>
        <w:t>习近平新时代中国特色社会主义思想在浙江的溯源与实</w:t>
      </w:r>
      <w:r>
        <w:rPr>
          <w:spacing w:val="7"/>
        </w:rPr>
        <w:t>践系列教材试用研究与实践；</w:t>
      </w:r>
    </w:p>
    <w:p>
      <w:pPr>
        <w:pStyle w:val="BodyText"/>
        <w:ind w:left="1571" w:right="1531" w:firstLine="616"/>
        <w:spacing w:before="183" w:line="279" w:lineRule="auto"/>
        <w:rPr/>
      </w:pPr>
      <w:r>
        <w:rPr>
          <w:rFonts w:ascii="Times New Roman" w:hAnsi="Times New Roman" w:eastAsia="Times New Roman" w:cs="Times New Roman"/>
          <w:spacing w:val="7"/>
        </w:rPr>
        <w:t>5.</w:t>
      </w:r>
      <w:r>
        <w:rPr>
          <w:spacing w:val="7"/>
        </w:rPr>
        <w:t>新时代高校课程思政教学模式创新探索，基于学科专业特</w:t>
      </w:r>
      <w:r>
        <w:rPr>
          <w:spacing w:val="7"/>
        </w:rPr>
        <w:t>点的课程思政分类建设与融入路径研究；</w:t>
      </w:r>
    </w:p>
    <w:p>
      <w:pPr>
        <w:pStyle w:val="BodyText"/>
        <w:ind w:left="1543" w:right="1531" w:firstLine="642"/>
        <w:spacing w:before="137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6.</w:t>
      </w:r>
      <w:r>
        <w:rPr>
          <w:spacing w:val="7"/>
        </w:rPr>
        <w:t>依托浙江红色文化、共同富裕实践样本，构建本研贯通式</w:t>
      </w:r>
      <w:r>
        <w:rPr>
          <w:spacing w:val="8"/>
        </w:rPr>
        <w:t>课程思政育人体系与实践范式；</w:t>
      </w:r>
    </w:p>
    <w:p>
      <w:pPr>
        <w:pStyle w:val="BodyText"/>
        <w:ind w:left="2183"/>
        <w:spacing w:before="190" w:line="220" w:lineRule="auto"/>
        <w:rPr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spacing w:val="8"/>
        </w:rPr>
        <w:t>赋能高校课程思政过程性教学评价研究与实践；</w:t>
      </w:r>
    </w:p>
    <w:p>
      <w:pPr>
        <w:spacing w:line="220" w:lineRule="auto"/>
        <w:sectPr>
          <w:headerReference w:type="default" r:id="rId1"/>
          <w:footerReference w:type="default" r:id="rId2"/>
          <w:pgSz w:w="11906" w:h="16839"/>
          <w:pgMar w:top="400" w:right="0" w:bottom="1773" w:left="0" w:header="0" w:footer="1408" w:gutter="0"/>
        </w:sectPr>
        <w:rPr/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2191"/>
        <w:spacing w:before="101" w:line="419" w:lineRule="exact"/>
        <w:rPr/>
      </w:pPr>
      <w:r>
        <w:rPr>
          <w:rFonts w:ascii="Times New Roman" w:hAnsi="Times New Roman" w:eastAsia="Times New Roman" w:cs="Times New Roman"/>
          <w:spacing w:val="8"/>
          <w:position w:val="1"/>
        </w:rPr>
        <w:t>8.</w:t>
      </w:r>
      <w:r>
        <w:rPr>
          <w:spacing w:val="8"/>
          <w:position w:val="1"/>
        </w:rPr>
        <w:t>课程思政建设质量评价体系和激励机制的探索与研究；</w:t>
      </w:r>
    </w:p>
    <w:p>
      <w:pPr>
        <w:pStyle w:val="BodyText"/>
        <w:ind w:left="1557" w:right="1533" w:firstLine="627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2"/>
        </w:rPr>
        <w:t>9.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2"/>
        </w:rPr>
        <w:t>以</w:t>
      </w:r>
      <w:r>
        <w:rPr>
          <w:spacing w:val="-117"/>
        </w:rPr>
        <w:t xml:space="preserve"> </w:t>
      </w:r>
      <w:r>
        <w:rPr>
          <w:spacing w:val="2"/>
        </w:rPr>
        <w:t>“</w:t>
      </w:r>
      <w:r>
        <w:rPr>
          <w:spacing w:val="-105"/>
        </w:rPr>
        <w:t xml:space="preserve"> </w:t>
      </w:r>
      <w:r>
        <w:rPr>
          <w:spacing w:val="2"/>
        </w:rPr>
        <w:t>四千精神”、浙商创新精神为内核的产业思政融入专</w:t>
      </w:r>
      <w:r>
        <w:rPr>
          <w:spacing w:val="7"/>
        </w:rPr>
        <w:t>业学位研究生培养路径研究；</w:t>
      </w:r>
    </w:p>
    <w:p>
      <w:pPr>
        <w:pStyle w:val="BodyText"/>
        <w:ind w:left="1548" w:right="1533" w:firstLine="660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11"/>
        </w:rPr>
        <w:t>10.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11"/>
        </w:rPr>
        <w:t>学生价值引领、学业成长、心理健康一体化育人模式创</w:t>
      </w:r>
      <w:r>
        <w:rPr>
          <w:spacing w:val="-5"/>
        </w:rPr>
        <w:t>新；</w:t>
      </w:r>
    </w:p>
    <w:p>
      <w:pPr>
        <w:pStyle w:val="BodyText"/>
        <w:ind w:left="1546" w:right="1533" w:firstLine="663"/>
        <w:spacing w:before="138" w:line="292" w:lineRule="auto"/>
        <w:rPr/>
      </w:pPr>
      <w:r>
        <w:rPr>
          <w:rFonts w:ascii="Times New Roman" w:hAnsi="Times New Roman" w:eastAsia="Times New Roman" w:cs="Times New Roman"/>
          <w:spacing w:val="12"/>
        </w:rPr>
        <w:t>11.</w:t>
      </w:r>
      <w:r>
        <w:rPr>
          <w:spacing w:val="12"/>
        </w:rPr>
        <w:t>研究生导师立德树人全链条责任落实机制与导师思政育</w:t>
      </w:r>
      <w:r>
        <w:rPr>
          <w:spacing w:val="7"/>
        </w:rPr>
        <w:t>人能力提升体系构建。</w:t>
      </w:r>
    </w:p>
    <w:p>
      <w:pPr>
        <w:ind w:left="2193"/>
        <w:spacing w:before="187" w:line="222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二、一体推进教育科技人才发展</w:t>
      </w:r>
    </w:p>
    <w:p>
      <w:pPr>
        <w:pStyle w:val="BodyText"/>
        <w:ind w:left="2209"/>
        <w:spacing w:before="140" w:line="419" w:lineRule="exact"/>
        <w:rPr/>
      </w:pPr>
      <w:r>
        <w:rPr>
          <w:rFonts w:ascii="Times New Roman" w:hAnsi="Times New Roman" w:eastAsia="Times New Roman" w:cs="Times New Roman"/>
          <w:spacing w:val="6"/>
          <w:position w:val="2"/>
        </w:rPr>
        <w:t>1.</w:t>
      </w:r>
      <w:r>
        <w:rPr>
          <w:spacing w:val="6"/>
          <w:position w:val="2"/>
        </w:rPr>
        <w:t>产业资源与教育资源深度融合机制研究；</w:t>
      </w:r>
    </w:p>
    <w:p>
      <w:pPr>
        <w:pStyle w:val="BodyText"/>
        <w:ind w:left="1535" w:right="1533" w:firstLine="643"/>
        <w:spacing w:before="141" w:line="292" w:lineRule="auto"/>
        <w:rPr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现代产业学院、未来技术学院、专业特色学</w:t>
      </w:r>
      <w:r>
        <w:rPr>
          <w:spacing w:val="7"/>
        </w:rPr>
        <w:t>院建设、评价</w:t>
      </w:r>
      <w:r>
        <w:rPr>
          <w:spacing w:val="7"/>
        </w:rPr>
        <w:t>研究与实践；</w:t>
      </w:r>
    </w:p>
    <w:p>
      <w:pPr>
        <w:pStyle w:val="BodyText"/>
        <w:ind w:left="1563" w:right="1531" w:firstLine="621"/>
        <w:spacing w:before="141" w:line="291" w:lineRule="auto"/>
        <w:rPr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spacing w:val="7"/>
        </w:rPr>
        <w:t>依托重大科创平台、重大科研基础设施的科教融汇式研究</w:t>
      </w:r>
      <w:r>
        <w:rPr>
          <w:spacing w:val="4"/>
        </w:rPr>
        <w:t>生拔尖人才培养；</w:t>
      </w:r>
    </w:p>
    <w:p>
      <w:pPr>
        <w:pStyle w:val="BodyText"/>
        <w:ind w:left="1550" w:right="1531" w:firstLine="627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8"/>
        </w:rPr>
        <w:t>4.</w:t>
      </w:r>
      <w:r>
        <w:rPr>
          <w:spacing w:val="8"/>
        </w:rPr>
        <w:t>地方本科高校产学研协同育人改革研究与实践，行业</w:t>
      </w:r>
      <w:r>
        <w:rPr>
          <w:spacing w:val="7"/>
        </w:rPr>
        <w:t>企业</w:t>
      </w:r>
      <w:r>
        <w:rPr>
          <w:spacing w:val="7"/>
        </w:rPr>
        <w:t>深度参与人才培养的机制研究；</w:t>
      </w:r>
    </w:p>
    <w:p>
      <w:pPr>
        <w:pStyle w:val="BodyText"/>
        <w:ind w:left="1548" w:right="1533" w:firstLine="638"/>
        <w:spacing w:before="185" w:line="278" w:lineRule="auto"/>
        <w:rPr/>
      </w:pPr>
      <w:r>
        <w:rPr>
          <w:rFonts w:ascii="Times New Roman" w:hAnsi="Times New Roman" w:eastAsia="Times New Roman" w:cs="Times New Roman"/>
          <w:spacing w:val="18"/>
        </w:rPr>
        <w:t>5.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18"/>
        </w:rPr>
        <w:t>面向产业链关键核心技术攻关的跨校跨学科拔尖创新人</w:t>
      </w:r>
      <w:r>
        <w:rPr>
          <w:spacing w:val="7"/>
        </w:rPr>
        <w:t>才培养的组织机制与制度建设；</w:t>
      </w:r>
    </w:p>
    <w:p>
      <w:pPr>
        <w:pStyle w:val="BodyText"/>
        <w:ind w:left="1550" w:right="1435" w:firstLine="635"/>
        <w:spacing w:before="141" w:line="292" w:lineRule="auto"/>
        <w:rPr/>
      </w:pPr>
      <w:r>
        <w:rPr>
          <w:rFonts w:ascii="Times New Roman" w:hAnsi="Times New Roman" w:eastAsia="Times New Roman" w:cs="Times New Roman"/>
          <w:spacing w:val="-1"/>
        </w:rPr>
        <w:t>6.</w:t>
      </w:r>
      <w:r>
        <w:rPr>
          <w:spacing w:val="-1"/>
        </w:rPr>
        <w:t>本科生科研训练体系升级，本科生进科研平台、进课题组、</w:t>
      </w:r>
      <w:r>
        <w:rPr>
          <w:spacing w:val="7"/>
        </w:rPr>
        <w:t>参与重大科研任务长效机制；</w:t>
      </w:r>
    </w:p>
    <w:p>
      <w:pPr>
        <w:pStyle w:val="BodyText"/>
        <w:ind w:left="1548" w:right="1435" w:firstLine="635"/>
        <w:spacing w:before="186" w:line="278" w:lineRule="auto"/>
        <w:rPr/>
      </w:pPr>
      <w:r>
        <w:rPr>
          <w:rFonts w:ascii="Times New Roman" w:hAnsi="Times New Roman" w:eastAsia="Times New Roman" w:cs="Times New Roman"/>
        </w:rPr>
        <w:t>7.</w:t>
      </w:r>
      <w:r>
        <w:rPr/>
        <w:t>教师产业实践常态化制度，科技副总、产</w:t>
      </w:r>
      <w:r>
        <w:rPr>
          <w:spacing w:val="-1"/>
        </w:rPr>
        <w:t>业教授双向流动、</w:t>
      </w:r>
      <w:r>
        <w:rPr>
          <w:spacing w:val="7"/>
        </w:rPr>
        <w:t>任务考核及激励保障机制改革。</w:t>
      </w:r>
    </w:p>
    <w:p>
      <w:pPr>
        <w:ind w:left="2195"/>
        <w:spacing w:before="189" w:line="222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三、重点领域战略急需人才培养</w:t>
      </w:r>
    </w:p>
    <w:p>
      <w:pPr>
        <w:pStyle w:val="BodyText"/>
        <w:ind w:left="2209"/>
        <w:spacing w:before="137" w:line="419" w:lineRule="exact"/>
        <w:rPr/>
      </w:pPr>
      <w:r>
        <w:rPr>
          <w:rFonts w:ascii="Times New Roman" w:hAnsi="Times New Roman" w:eastAsia="Times New Roman" w:cs="Times New Roman"/>
          <w:spacing w:val="7"/>
          <w:position w:val="2"/>
        </w:rPr>
        <w:t>1.</w:t>
      </w:r>
      <w:r>
        <w:rPr>
          <w:spacing w:val="7"/>
          <w:position w:val="2"/>
        </w:rPr>
        <w:t>基础学科拔尖创新人才培养模式创新与实践；</w:t>
      </w:r>
    </w:p>
    <w:p>
      <w:pPr>
        <w:spacing w:line="419" w:lineRule="exact"/>
        <w:sectPr>
          <w:headerReference w:type="default" r:id="rId3"/>
          <w:footerReference w:type="default" r:id="rId4"/>
          <w:pgSz w:w="11906" w:h="16839"/>
          <w:pgMar w:top="400" w:right="0" w:bottom="1773" w:left="0" w:header="0" w:footer="1405" w:gutter="0"/>
        </w:sectPr>
        <w:rPr/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2178"/>
        <w:spacing w:before="101" w:line="419" w:lineRule="exact"/>
        <w:rPr/>
      </w:pPr>
      <w:r>
        <w:rPr>
          <w:rFonts w:ascii="Times New Roman" w:hAnsi="Times New Roman" w:eastAsia="Times New Roman" w:cs="Times New Roman"/>
          <w:spacing w:val="2"/>
          <w:position w:val="2"/>
        </w:rPr>
        <w:t>2.</w:t>
      </w:r>
      <w:r>
        <w:rPr>
          <w:spacing w:val="2"/>
          <w:position w:val="2"/>
        </w:rPr>
        <w:t>新文科、新工科、新农科、新医科人才培养模式</w:t>
      </w:r>
      <w:r>
        <w:rPr>
          <w:spacing w:val="1"/>
          <w:position w:val="2"/>
        </w:rPr>
        <w:t>改革研究；</w:t>
      </w:r>
    </w:p>
    <w:p>
      <w:pPr>
        <w:pStyle w:val="BodyText"/>
        <w:ind w:left="1547" w:right="1533" w:firstLine="637"/>
        <w:spacing w:before="139" w:line="306" w:lineRule="auto"/>
        <w:rPr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spacing w:val="7"/>
        </w:rPr>
        <w:t>新一代信息技术、高端装备、生物制造、生物医药、生物</w:t>
      </w:r>
      <w:r>
        <w:rPr>
          <w:spacing w:val="5"/>
        </w:rPr>
        <w:t>育种、新能源、新材料、数字创意等战略新兴产业拔尖创新人才</w:t>
      </w:r>
      <w:r>
        <w:rPr>
          <w:spacing w:val="7"/>
        </w:rPr>
        <w:t>培养体系构建与实践；</w:t>
      </w:r>
    </w:p>
    <w:p>
      <w:pPr>
        <w:pStyle w:val="BodyText"/>
        <w:ind w:left="1543" w:right="1558" w:firstLine="633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4.</w:t>
      </w:r>
      <w:r>
        <w:rPr>
          <w:spacing w:val="7"/>
        </w:rPr>
        <w:t>未来制造、未来信息、未来材料、未来空间、未来能</w:t>
      </w:r>
      <w:r>
        <w:rPr>
          <w:spacing w:val="6"/>
        </w:rPr>
        <w:t>源、</w:t>
      </w:r>
      <w:r>
        <w:rPr>
          <w:spacing w:val="9"/>
        </w:rPr>
        <w:t>未来健康等未来产业急需人才培养体系构建与实</w:t>
      </w:r>
      <w:r>
        <w:rPr>
          <w:spacing w:val="8"/>
        </w:rPr>
        <w:t>践；</w:t>
      </w:r>
    </w:p>
    <w:p>
      <w:pPr>
        <w:pStyle w:val="BodyText"/>
        <w:ind w:left="1542" w:right="1531" w:firstLine="644"/>
        <w:spacing w:before="186" w:line="297" w:lineRule="auto"/>
        <w:rPr/>
      </w:pPr>
      <w:r>
        <w:rPr>
          <w:rFonts w:ascii="Times New Roman" w:hAnsi="Times New Roman" w:eastAsia="Times New Roman" w:cs="Times New Roman"/>
          <w:spacing w:val="5"/>
        </w:rPr>
        <w:t>5.</w:t>
      </w:r>
      <w:r>
        <w:rPr>
          <w:rFonts w:ascii="Times New Roman" w:hAnsi="Times New Roman" w:eastAsia="Times New Roman" w:cs="Times New Roman"/>
          <w:spacing w:val="-9"/>
        </w:rPr>
        <w:t xml:space="preserve"> </w:t>
      </w:r>
      <w:r>
        <w:rPr>
          <w:spacing w:val="5"/>
        </w:rPr>
        <w:t>区域国别、涉外法治、纪检监察、国际传播、关键语种、</w:t>
      </w:r>
      <w:r>
        <w:rPr>
          <w:spacing w:val="17"/>
        </w:rPr>
        <w:t>全球治理、科技成果转化等领域实战性人才培养体系构建与实</w:t>
      </w:r>
      <w:r>
        <w:rPr>
          <w:spacing w:val="-2"/>
        </w:rPr>
        <w:t>践；</w:t>
      </w:r>
    </w:p>
    <w:p>
      <w:pPr>
        <w:pStyle w:val="BodyText"/>
        <w:ind w:left="1541" w:right="1533" w:firstLine="644"/>
        <w:spacing w:before="136" w:line="292" w:lineRule="auto"/>
        <w:rPr/>
      </w:pPr>
      <w:r>
        <w:rPr>
          <w:rFonts w:ascii="Times New Roman" w:hAnsi="Times New Roman" w:eastAsia="Times New Roman" w:cs="Times New Roman"/>
          <w:spacing w:val="18"/>
        </w:rPr>
        <w:t>6.</w:t>
      </w:r>
      <w:r>
        <w:rPr>
          <w:rFonts w:ascii="Times New Roman" w:hAnsi="Times New Roman" w:eastAsia="Times New Roman" w:cs="Times New Roman"/>
          <w:spacing w:val="-33"/>
        </w:rPr>
        <w:t xml:space="preserve"> </w:t>
      </w:r>
      <w:r>
        <w:rPr>
          <w:spacing w:val="18"/>
        </w:rPr>
        <w:t>面向国家战略与浙江未来产业的交叉学科拔尖人才培养</w:t>
      </w:r>
      <w:r>
        <w:rPr>
          <w:spacing w:val="5"/>
        </w:rPr>
        <w:t>机制改革；</w:t>
      </w:r>
    </w:p>
    <w:p>
      <w:pPr>
        <w:pStyle w:val="BodyText"/>
        <w:ind w:left="1546" w:right="1531" w:firstLine="637"/>
        <w:spacing w:before="185" w:line="279" w:lineRule="auto"/>
        <w:rPr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spacing w:val="7"/>
        </w:rPr>
        <w:t>面向中小微产业集群的产教协同育人模式创新，破解中小</w:t>
      </w:r>
      <w:r>
        <w:rPr>
          <w:spacing w:val="7"/>
        </w:rPr>
        <w:t>企业育人参与度低难题；</w:t>
      </w:r>
    </w:p>
    <w:p>
      <w:pPr>
        <w:pStyle w:val="BodyText"/>
        <w:ind w:left="1558" w:right="1530" w:firstLine="632"/>
        <w:spacing w:before="137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8.</w:t>
      </w:r>
      <w:r>
        <w:rPr>
          <w:spacing w:val="7"/>
        </w:rPr>
        <w:t>卓越工程师、卓越医师、卓越农林人才、卓越社科人才等</w:t>
      </w:r>
      <w:r>
        <w:rPr>
          <w:spacing w:val="3"/>
        </w:rPr>
        <w:t>系列</w:t>
      </w:r>
      <w:r>
        <w:rPr>
          <w:spacing w:val="-103"/>
        </w:rPr>
        <w:t xml:space="preserve"> </w:t>
      </w:r>
      <w:r>
        <w:rPr>
          <w:spacing w:val="3"/>
        </w:rPr>
        <w:t>“卓越”人才培养改革；</w:t>
      </w:r>
    </w:p>
    <w:p>
      <w:pPr>
        <w:pStyle w:val="BodyText"/>
        <w:ind w:left="1561" w:right="1531" w:firstLine="623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4"/>
        </w:rPr>
        <w:t>9.</w:t>
      </w:r>
      <w:r>
        <w:rPr>
          <w:spacing w:val="4"/>
        </w:rPr>
        <w:t>促使</w:t>
      </w:r>
      <w:r>
        <w:rPr>
          <w:spacing w:val="-100"/>
        </w:rPr>
        <w:t xml:space="preserve"> </w:t>
      </w:r>
      <w:r>
        <w:rPr>
          <w:spacing w:val="4"/>
        </w:rPr>
        <w:t>“会读书的人”成为</w:t>
      </w:r>
      <w:r>
        <w:rPr>
          <w:spacing w:val="-112"/>
        </w:rPr>
        <w:t xml:space="preserve"> </w:t>
      </w:r>
      <w:r>
        <w:rPr>
          <w:spacing w:val="4"/>
        </w:rPr>
        <w:t>“会创造的人”的培养模式研究</w:t>
      </w:r>
      <w:r>
        <w:rPr>
          <w:spacing w:val="-1"/>
        </w:rPr>
        <w:t>与实践；</w:t>
      </w:r>
    </w:p>
    <w:p>
      <w:pPr>
        <w:pStyle w:val="BodyText"/>
        <w:ind w:left="1542" w:right="1479" w:firstLine="666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3"/>
        </w:rPr>
        <w:t>10.</w:t>
      </w:r>
      <w:r>
        <w:rPr>
          <w:spacing w:val="3"/>
        </w:rPr>
        <w:t>地方</w:t>
      </w:r>
      <w:r>
        <w:rPr>
          <w:spacing w:val="-102"/>
        </w:rPr>
        <w:t xml:space="preserve"> </w:t>
      </w:r>
      <w:r>
        <w:rPr>
          <w:spacing w:val="3"/>
        </w:rPr>
        <w:t>“</w:t>
      </w:r>
      <w:r>
        <w:rPr>
          <w:rFonts w:ascii="Times New Roman" w:hAnsi="Times New Roman" w:eastAsia="Times New Roman" w:cs="Times New Roman"/>
          <w:spacing w:val="3"/>
        </w:rPr>
        <w:t>101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3"/>
        </w:rPr>
        <w:t>计划”核心课程、核心教</w:t>
      </w:r>
      <w:r>
        <w:rPr>
          <w:spacing w:val="2"/>
        </w:rPr>
        <w:t>材、核心教师团队、</w:t>
      </w:r>
      <w:r>
        <w:rPr>
          <w:spacing w:val="8"/>
        </w:rPr>
        <w:t>核心实践项目的探索与实践。</w:t>
      </w:r>
    </w:p>
    <w:p>
      <w:pPr>
        <w:ind w:left="2208"/>
        <w:spacing w:before="186" w:line="222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四、重塑课程、教材体系和教学内容</w:t>
      </w:r>
    </w:p>
    <w:p>
      <w:pPr>
        <w:pStyle w:val="BodyText"/>
        <w:ind w:left="1547" w:right="1530" w:firstLine="661"/>
        <w:spacing w:before="140" w:line="291" w:lineRule="auto"/>
        <w:rPr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课程体系、教学内容与教学方法改革创新</w:t>
      </w:r>
      <w:r>
        <w:rPr>
          <w:spacing w:val="6"/>
        </w:rPr>
        <w:t>研究与实践，课</w:t>
      </w:r>
      <w:r>
        <w:rPr>
          <w:spacing w:val="8"/>
        </w:rPr>
        <w:t>程模块化、弹性化、可重组改革实践；</w:t>
      </w:r>
    </w:p>
    <w:p>
      <w:pPr>
        <w:pStyle w:val="BodyText"/>
        <w:ind w:left="2178"/>
        <w:spacing w:before="141" w:line="419" w:lineRule="exact"/>
        <w:rPr/>
      </w:pPr>
      <w:r>
        <w:rPr>
          <w:rFonts w:ascii="Times New Roman" w:hAnsi="Times New Roman" w:eastAsia="Times New Roman" w:cs="Times New Roman"/>
          <w:spacing w:val="8"/>
          <w:position w:val="2"/>
        </w:rPr>
        <w:t>2.</w:t>
      </w:r>
      <w:r>
        <w:rPr>
          <w:spacing w:val="8"/>
          <w:position w:val="2"/>
        </w:rPr>
        <w:t>教学内容、教材建设与科技发展、产业变革同步</w:t>
      </w:r>
      <w:r>
        <w:rPr>
          <w:spacing w:val="7"/>
          <w:position w:val="2"/>
        </w:rPr>
        <w:t>更新机制</w:t>
      </w:r>
    </w:p>
    <w:p>
      <w:pPr>
        <w:spacing w:line="419" w:lineRule="exact"/>
        <w:sectPr>
          <w:headerReference w:type="default" r:id="rId5"/>
          <w:footerReference w:type="default" r:id="rId6"/>
          <w:pgSz w:w="11906" w:h="16839"/>
          <w:pgMar w:top="400" w:right="0" w:bottom="1773" w:left="0" w:header="0" w:footer="1405" w:gutter="0"/>
        </w:sectPr>
        <w:rPr/>
      </w:pP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1535"/>
        <w:spacing w:before="101" w:line="222" w:lineRule="auto"/>
        <w:rPr/>
      </w:pPr>
      <w:r>
        <w:rPr>
          <w:spacing w:val="4"/>
        </w:rPr>
        <w:t>研究；</w:t>
      </w:r>
    </w:p>
    <w:p>
      <w:pPr>
        <w:pStyle w:val="BodyText"/>
        <w:ind w:left="2185"/>
        <w:spacing w:before="137" w:line="418" w:lineRule="exact"/>
        <w:rPr/>
      </w:pPr>
      <w:r>
        <w:rPr>
          <w:rFonts w:ascii="Times New Roman" w:hAnsi="Times New Roman" w:eastAsia="Times New Roman" w:cs="Times New Roman"/>
          <w:spacing w:val="8"/>
          <w:position w:val="2"/>
        </w:rPr>
        <w:t>3.</w:t>
      </w:r>
      <w:r>
        <w:rPr>
          <w:spacing w:val="8"/>
          <w:position w:val="2"/>
        </w:rPr>
        <w:t>课程的准入、建设、评价与淘汰机制研究；</w:t>
      </w:r>
    </w:p>
    <w:p>
      <w:pPr>
        <w:pStyle w:val="BodyText"/>
        <w:ind w:left="2177"/>
        <w:spacing w:before="143" w:line="418" w:lineRule="exact"/>
        <w:rPr/>
      </w:pPr>
      <w:r>
        <w:rPr>
          <w:rFonts w:ascii="Times New Roman" w:hAnsi="Times New Roman" w:eastAsia="Times New Roman" w:cs="Times New Roman"/>
          <w:spacing w:val="8"/>
          <w:position w:val="2"/>
        </w:rPr>
        <w:t>4.</w:t>
      </w:r>
      <w:r>
        <w:rPr>
          <w:spacing w:val="8"/>
          <w:position w:val="2"/>
        </w:rPr>
        <w:t>开源生态课程体系培育研究与实践；</w:t>
      </w:r>
    </w:p>
    <w:p>
      <w:pPr>
        <w:pStyle w:val="BodyText"/>
        <w:ind w:left="2187"/>
        <w:spacing w:before="189" w:line="222" w:lineRule="auto"/>
        <w:rPr/>
      </w:pPr>
      <w:r>
        <w:rPr>
          <w:rFonts w:ascii="Times New Roman" w:hAnsi="Times New Roman" w:eastAsia="Times New Roman" w:cs="Times New Roman"/>
          <w:spacing w:val="7"/>
        </w:rPr>
        <w:t>5.</w:t>
      </w:r>
      <w:r>
        <w:rPr>
          <w:spacing w:val="7"/>
        </w:rPr>
        <w:t>通识教育体系建设研究与实践；</w:t>
      </w:r>
    </w:p>
    <w:p>
      <w:pPr>
        <w:pStyle w:val="BodyText"/>
        <w:ind w:left="1543" w:right="1531" w:firstLine="642"/>
        <w:spacing w:before="139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6.</w:t>
      </w:r>
      <w:r>
        <w:rPr>
          <w:spacing w:val="7"/>
        </w:rPr>
        <w:t>新形态教材、活页教材、产业案例教材、本土特色教材开</w:t>
      </w:r>
      <w:r>
        <w:rPr>
          <w:spacing w:val="7"/>
        </w:rPr>
        <w:t>发、应用与迭代机制；</w:t>
      </w:r>
    </w:p>
    <w:p>
      <w:pPr>
        <w:pStyle w:val="BodyText"/>
        <w:ind w:left="2183"/>
        <w:spacing w:before="186" w:line="222" w:lineRule="auto"/>
        <w:rPr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高校间优质教学资源建设与共享机制研究。</w:t>
      </w:r>
    </w:p>
    <w:p>
      <w:pPr>
        <w:ind w:left="2194"/>
        <w:spacing w:before="188" w:line="222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五、提升人才培养供需适配度</w:t>
      </w:r>
    </w:p>
    <w:p>
      <w:pPr>
        <w:pStyle w:val="BodyText"/>
        <w:ind w:left="2209"/>
        <w:spacing w:before="140" w:line="418" w:lineRule="exact"/>
        <w:rPr/>
      </w:pPr>
      <w:r>
        <w:rPr>
          <w:rFonts w:ascii="Times New Roman" w:hAnsi="Times New Roman" w:eastAsia="Times New Roman" w:cs="Times New Roman"/>
          <w:spacing w:val="6"/>
          <w:position w:val="2"/>
        </w:rPr>
        <w:t>1.</w:t>
      </w:r>
      <w:r>
        <w:rPr>
          <w:spacing w:val="6"/>
          <w:position w:val="2"/>
        </w:rPr>
        <w:t>构建数据驱动的人才培养供需适配机制；</w:t>
      </w:r>
    </w:p>
    <w:p>
      <w:pPr>
        <w:pStyle w:val="BodyText"/>
        <w:ind w:left="1542" w:right="1531" w:firstLine="636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构建完善高校招生—培养—就业联动有效机制，</w:t>
      </w:r>
      <w:r>
        <w:rPr>
          <w:spacing w:val="7"/>
        </w:rPr>
        <w:t>毕业生长</w:t>
      </w:r>
      <w:r>
        <w:rPr>
          <w:spacing w:val="9"/>
        </w:rPr>
        <w:t>周期跟踪反馈机制建设，反哺专业、课程持续改进；</w:t>
      </w:r>
    </w:p>
    <w:p>
      <w:pPr>
        <w:pStyle w:val="BodyText"/>
        <w:ind w:left="2185"/>
        <w:spacing w:before="141" w:line="419" w:lineRule="exact"/>
        <w:rPr/>
      </w:pPr>
      <w:r>
        <w:rPr>
          <w:rFonts w:ascii="Times New Roman" w:hAnsi="Times New Roman" w:eastAsia="Times New Roman" w:cs="Times New Roman"/>
          <w:spacing w:val="8"/>
          <w:position w:val="2"/>
        </w:rPr>
        <w:t>3.</w:t>
      </w:r>
      <w:r>
        <w:rPr>
          <w:spacing w:val="8"/>
          <w:position w:val="2"/>
        </w:rPr>
        <w:t>建立快速响应区域产业需求的人才培养供给机制；</w:t>
      </w:r>
    </w:p>
    <w:p>
      <w:pPr>
        <w:pStyle w:val="BodyText"/>
        <w:ind w:left="1553" w:right="1533" w:firstLine="623"/>
        <w:spacing w:before="141" w:line="292" w:lineRule="auto"/>
        <w:rPr/>
      </w:pPr>
      <w:r>
        <w:rPr>
          <w:rFonts w:ascii="Times New Roman" w:hAnsi="Times New Roman" w:eastAsia="Times New Roman" w:cs="Times New Roman"/>
          <w:spacing w:val="18"/>
        </w:rPr>
        <w:t>4.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18"/>
        </w:rPr>
        <w:t>学科专业设置与区域经济社会发展适配度评价研究与实</w:t>
      </w:r>
      <w:r>
        <w:rPr>
          <w:spacing w:val="-7"/>
        </w:rPr>
        <w:t>践；</w:t>
      </w:r>
    </w:p>
    <w:p>
      <w:pPr>
        <w:pStyle w:val="BodyText"/>
        <w:ind w:left="2187"/>
        <w:spacing w:before="187" w:line="222" w:lineRule="auto"/>
        <w:rPr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面向战略新兴产业的学科专业快速响应机制探索与实践；</w:t>
      </w:r>
    </w:p>
    <w:p>
      <w:pPr>
        <w:pStyle w:val="BodyText"/>
        <w:ind w:left="1561" w:right="1533" w:firstLine="624"/>
        <w:spacing w:before="139" w:line="292" w:lineRule="auto"/>
        <w:rPr/>
      </w:pPr>
      <w:r>
        <w:rPr>
          <w:rFonts w:ascii="Times New Roman" w:hAnsi="Times New Roman" w:eastAsia="Times New Roman" w:cs="Times New Roman"/>
          <w:spacing w:val="5"/>
        </w:rPr>
        <w:t>6.</w:t>
      </w:r>
      <w:r>
        <w:rPr>
          <w:rFonts w:ascii="Times New Roman" w:hAnsi="Times New Roman" w:eastAsia="Times New Roman" w:cs="Times New Roman"/>
          <w:spacing w:val="-44"/>
        </w:rPr>
        <w:t xml:space="preserve"> </w:t>
      </w:r>
      <w:r>
        <w:rPr>
          <w:spacing w:val="5"/>
        </w:rPr>
        <w:t>学科专业</w:t>
      </w:r>
      <w:r>
        <w:rPr>
          <w:spacing w:val="-115"/>
        </w:rPr>
        <w:t xml:space="preserve"> </w:t>
      </w:r>
      <w:r>
        <w:rPr>
          <w:spacing w:val="5"/>
        </w:rPr>
        <w:t>“数字画像”和红黄牌预警、调整</w:t>
      </w:r>
      <w:r>
        <w:rPr>
          <w:spacing w:val="4"/>
        </w:rPr>
        <w:t>优化机制研究</w:t>
      </w:r>
      <w:r>
        <w:rPr>
          <w:spacing w:val="-1"/>
        </w:rPr>
        <w:t>与实践；</w:t>
      </w:r>
    </w:p>
    <w:p>
      <w:pPr>
        <w:pStyle w:val="BodyText"/>
        <w:ind w:left="2183"/>
        <w:spacing w:before="188" w:line="221" w:lineRule="auto"/>
        <w:rPr/>
      </w:pPr>
      <w:r>
        <w:rPr>
          <w:rFonts w:ascii="Times New Roman" w:hAnsi="Times New Roman" w:eastAsia="Times New Roman" w:cs="Times New Roman"/>
          <w:spacing w:val="5"/>
        </w:rPr>
        <w:t>7.</w:t>
      </w:r>
      <w:r>
        <w:rPr>
          <w:rFonts w:ascii="Times New Roman" w:hAnsi="Times New Roman" w:eastAsia="Times New Roman" w:cs="Times New Roman"/>
          <w:spacing w:val="-8"/>
        </w:rPr>
        <w:t xml:space="preserve"> </w:t>
      </w:r>
      <w:r>
        <w:rPr>
          <w:spacing w:val="5"/>
        </w:rPr>
        <w:t>“学位</w:t>
      </w:r>
      <w:r>
        <w:rPr>
          <w:rFonts w:ascii="Times New Roman" w:hAnsi="Times New Roman" w:eastAsia="Times New Roman" w:cs="Times New Roman"/>
          <w:spacing w:val="5"/>
        </w:rPr>
        <w:t>+</w:t>
      </w:r>
      <w:r>
        <w:rPr>
          <w:spacing w:val="5"/>
        </w:rPr>
        <w:t>项目”研究生培养模式改革与实践；</w:t>
      </w:r>
    </w:p>
    <w:p>
      <w:pPr>
        <w:pStyle w:val="BodyText"/>
        <w:ind w:left="1547" w:right="1533" w:firstLine="644"/>
        <w:spacing w:before="139" w:line="292" w:lineRule="auto"/>
        <w:rPr/>
      </w:pPr>
      <w:r>
        <w:rPr>
          <w:rFonts w:ascii="Times New Roman" w:hAnsi="Times New Roman" w:eastAsia="Times New Roman" w:cs="Times New Roman"/>
          <w:spacing w:val="6"/>
        </w:rPr>
        <w:t>8.</w:t>
      </w:r>
      <w:r>
        <w:rPr>
          <w:rFonts w:ascii="Times New Roman" w:hAnsi="Times New Roman" w:eastAsia="Times New Roman" w:cs="Times New Roman"/>
          <w:spacing w:val="-42"/>
        </w:rPr>
        <w:t xml:space="preserve"> </w:t>
      </w:r>
      <w:r>
        <w:rPr>
          <w:spacing w:val="6"/>
        </w:rPr>
        <w:t>“双优”建设背景下高水平应用型高校优质特色专业集群</w:t>
      </w:r>
      <w:r>
        <w:rPr>
          <w:spacing w:val="4"/>
        </w:rPr>
        <w:t>培育机制；</w:t>
      </w:r>
    </w:p>
    <w:p>
      <w:pPr>
        <w:pStyle w:val="BodyText"/>
        <w:ind w:left="1536" w:right="1530" w:firstLine="648"/>
        <w:spacing w:before="143" w:line="291" w:lineRule="auto"/>
        <w:rPr/>
      </w:pPr>
      <w:r>
        <w:rPr>
          <w:rFonts w:ascii="Times New Roman" w:hAnsi="Times New Roman" w:eastAsia="Times New Roman" w:cs="Times New Roman"/>
          <w:spacing w:val="3"/>
        </w:rPr>
        <w:t>9.</w:t>
      </w:r>
      <w:r>
        <w:rPr>
          <w:spacing w:val="3"/>
        </w:rPr>
        <w:t>快速响应产业发展的</w:t>
      </w:r>
      <w:r>
        <w:rPr>
          <w:spacing w:val="-109"/>
        </w:rPr>
        <w:t xml:space="preserve"> </w:t>
      </w:r>
      <w:r>
        <w:rPr>
          <w:spacing w:val="3"/>
        </w:rPr>
        <w:t>“微专业”</w:t>
      </w:r>
      <w:r>
        <w:rPr>
          <w:spacing w:val="-114"/>
        </w:rPr>
        <w:t xml:space="preserve"> </w:t>
      </w:r>
      <w:r>
        <w:rPr>
          <w:spacing w:val="3"/>
        </w:rPr>
        <w:t>“微课程”</w:t>
      </w:r>
      <w:r>
        <w:rPr>
          <w:spacing w:val="-117"/>
        </w:rPr>
        <w:t xml:space="preserve"> </w:t>
      </w:r>
      <w:r>
        <w:rPr>
          <w:spacing w:val="3"/>
        </w:rPr>
        <w:t>“微证书”等</w:t>
      </w:r>
      <w:r>
        <w:rPr>
          <w:spacing w:val="9"/>
        </w:rPr>
        <w:t>体系建设的探索与实践，支撑复合型人才培养；</w:t>
      </w:r>
    </w:p>
    <w:p>
      <w:pPr>
        <w:pStyle w:val="BodyText"/>
        <w:ind w:left="2209"/>
        <w:spacing w:before="140" w:line="418" w:lineRule="exact"/>
        <w:rPr/>
      </w:pPr>
      <w:r>
        <w:rPr>
          <w:rFonts w:ascii="Times New Roman" w:hAnsi="Times New Roman" w:eastAsia="Times New Roman" w:cs="Times New Roman"/>
          <w:spacing w:val="7"/>
          <w:position w:val="2"/>
        </w:rPr>
        <w:t>10.</w:t>
      </w:r>
      <w:r>
        <w:rPr>
          <w:spacing w:val="7"/>
          <w:position w:val="2"/>
        </w:rPr>
        <w:t>全链条优化提升高校毕业生高质量就业指导服务。</w:t>
      </w:r>
    </w:p>
    <w:p>
      <w:pPr>
        <w:spacing w:line="418" w:lineRule="exact"/>
        <w:sectPr>
          <w:headerReference w:type="default" r:id="rId1"/>
          <w:footerReference w:type="default" r:id="rId7"/>
          <w:pgSz w:w="11906" w:h="16839"/>
          <w:pgMar w:top="400" w:right="0" w:bottom="1773" w:left="0" w:header="0" w:footer="1408" w:gutter="0"/>
        </w:sectPr>
        <w:rPr/>
      </w:pP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ind w:left="2192"/>
        <w:spacing w:before="101" w:line="222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六、创新教学方式方法和完善培养过程管理</w:t>
      </w:r>
    </w:p>
    <w:p>
      <w:pPr>
        <w:pStyle w:val="BodyText"/>
        <w:ind w:left="2209"/>
        <w:spacing w:before="137" w:line="418" w:lineRule="exact"/>
        <w:rPr/>
      </w:pPr>
      <w:r>
        <w:rPr>
          <w:rFonts w:ascii="Times New Roman" w:hAnsi="Times New Roman" w:eastAsia="Times New Roman" w:cs="Times New Roman"/>
          <w:spacing w:val="7"/>
          <w:position w:val="2"/>
        </w:rPr>
        <w:t>1.</w:t>
      </w:r>
      <w:r>
        <w:rPr>
          <w:spacing w:val="7"/>
          <w:position w:val="2"/>
        </w:rPr>
        <w:t>基层教学组织建设与高质量运行机制研究与实践；</w:t>
      </w:r>
    </w:p>
    <w:p>
      <w:pPr>
        <w:pStyle w:val="BodyText"/>
        <w:ind w:left="1552" w:right="1533" w:firstLine="626"/>
        <w:spacing w:before="144" w:line="291" w:lineRule="auto"/>
        <w:rPr/>
      </w:pPr>
      <w:r>
        <w:rPr>
          <w:rFonts w:ascii="Times New Roman" w:hAnsi="Times New Roman" w:eastAsia="Times New Roman" w:cs="Times New Roman"/>
          <w:spacing w:val="10"/>
        </w:rPr>
        <w:t>2.</w:t>
      </w:r>
      <w:r>
        <w:rPr>
          <w:rFonts w:ascii="Times New Roman" w:hAnsi="Times New Roman" w:eastAsia="Times New Roman" w:cs="Times New Roman"/>
        </w:rPr>
        <w:t>PBL</w:t>
      </w:r>
      <w:r>
        <w:rPr>
          <w:spacing w:val="10"/>
        </w:rPr>
        <w:t>（基于问题的学习、项目式学习）在本科和研究生核</w:t>
      </w:r>
      <w:r>
        <w:rPr>
          <w:spacing w:val="7"/>
        </w:rPr>
        <w:t>心课程中的推广应用与质量保障；</w:t>
      </w:r>
    </w:p>
    <w:p>
      <w:pPr>
        <w:pStyle w:val="BodyText"/>
        <w:ind w:left="2185"/>
        <w:spacing w:before="139" w:line="419" w:lineRule="exact"/>
        <w:rPr/>
      </w:pPr>
      <w:r>
        <w:rPr>
          <w:rFonts w:ascii="Times New Roman" w:hAnsi="Times New Roman" w:eastAsia="Times New Roman" w:cs="Times New Roman"/>
          <w:spacing w:val="6"/>
          <w:position w:val="2"/>
        </w:rPr>
        <w:t>3.</w:t>
      </w:r>
      <w:r>
        <w:rPr>
          <w:rFonts w:ascii="Times New Roman" w:hAnsi="Times New Roman" w:eastAsia="Times New Roman" w:cs="Times New Roman"/>
          <w:spacing w:val="-31"/>
          <w:position w:val="2"/>
        </w:rPr>
        <w:t xml:space="preserve"> </w:t>
      </w:r>
      <w:r>
        <w:rPr>
          <w:spacing w:val="6"/>
          <w:position w:val="2"/>
        </w:rPr>
        <w:t>学术学位与专业学位差异化培养体系研究；</w:t>
      </w:r>
    </w:p>
    <w:p>
      <w:pPr>
        <w:pStyle w:val="BodyText"/>
        <w:ind w:left="1567" w:right="1533" w:firstLine="609"/>
        <w:spacing w:before="143" w:line="292" w:lineRule="auto"/>
        <w:rPr/>
      </w:pPr>
      <w:r>
        <w:rPr>
          <w:rFonts w:ascii="Times New Roman" w:hAnsi="Times New Roman" w:eastAsia="Times New Roman" w:cs="Times New Roman"/>
          <w:spacing w:val="20"/>
        </w:rPr>
        <w:t>4.</w:t>
      </w:r>
      <w:r>
        <w:rPr>
          <w:spacing w:val="20"/>
        </w:rPr>
        <w:t>基于学生自主学习能力培养和个性化教学的人才培养模</w:t>
      </w:r>
      <w:r>
        <w:rPr>
          <w:spacing w:val="3"/>
        </w:rPr>
        <w:t>式研究与实践；</w:t>
      </w:r>
    </w:p>
    <w:p>
      <w:pPr>
        <w:pStyle w:val="BodyText"/>
        <w:ind w:left="1541" w:right="1531" w:firstLine="646"/>
        <w:spacing w:before="186" w:line="278" w:lineRule="auto"/>
        <w:rPr/>
      </w:pPr>
      <w:r>
        <w:rPr>
          <w:rFonts w:ascii="Times New Roman" w:hAnsi="Times New Roman" w:eastAsia="Times New Roman" w:cs="Times New Roman"/>
          <w:spacing w:val="4"/>
        </w:rPr>
        <w:t>5.</w:t>
      </w:r>
      <w:r>
        <w:rPr>
          <w:spacing w:val="4"/>
        </w:rPr>
        <w:t>卓越工程师学院实体化运行、校企</w:t>
      </w:r>
      <w:r>
        <w:rPr>
          <w:spacing w:val="-109"/>
        </w:rPr>
        <w:t xml:space="preserve"> </w:t>
      </w:r>
      <w:r>
        <w:rPr>
          <w:spacing w:val="4"/>
        </w:rPr>
        <w:t>“</w:t>
      </w:r>
      <w:r>
        <w:rPr>
          <w:spacing w:val="-105"/>
        </w:rPr>
        <w:t xml:space="preserve"> </w:t>
      </w:r>
      <w:r>
        <w:rPr>
          <w:spacing w:val="4"/>
        </w:rPr>
        <w:t>四共四通”协同育人</w:t>
      </w:r>
      <w:r>
        <w:rPr>
          <w:spacing w:val="7"/>
        </w:rPr>
        <w:t>机制深化实践；</w:t>
      </w:r>
    </w:p>
    <w:p>
      <w:pPr>
        <w:pStyle w:val="BodyText"/>
        <w:ind w:left="1558" w:right="1533" w:firstLine="627"/>
        <w:spacing w:before="139" w:line="292" w:lineRule="auto"/>
        <w:rPr/>
      </w:pPr>
      <w:r>
        <w:rPr>
          <w:rFonts w:ascii="Times New Roman" w:hAnsi="Times New Roman" w:eastAsia="Times New Roman" w:cs="Times New Roman"/>
          <w:spacing w:val="20"/>
        </w:rPr>
        <w:t>6.</w:t>
      </w:r>
      <w:r>
        <w:rPr>
          <w:spacing w:val="20"/>
        </w:rPr>
        <w:t>课程目标—教学活动—学业评价一体化</w:t>
      </w:r>
      <w:r>
        <w:rPr>
          <w:spacing w:val="19"/>
        </w:rPr>
        <w:t>逆向教学设计体</w:t>
      </w:r>
      <w:r>
        <w:rPr/>
        <w:t>系建设；</w:t>
      </w:r>
    </w:p>
    <w:p>
      <w:pPr>
        <w:pStyle w:val="BodyText"/>
        <w:ind w:left="1547" w:right="1531" w:firstLine="636"/>
        <w:spacing w:before="188" w:line="277" w:lineRule="auto"/>
        <w:rPr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spacing w:val="7"/>
        </w:rPr>
        <w:t>教学督导、同行评议、学生教学信息员、第三方评估多元</w:t>
      </w:r>
      <w:r>
        <w:rPr>
          <w:spacing w:val="7"/>
        </w:rPr>
        <w:t>协同质量监控队伍运行机制；</w:t>
      </w:r>
    </w:p>
    <w:p>
      <w:pPr>
        <w:pStyle w:val="BodyText"/>
        <w:ind w:left="1557" w:right="1531" w:firstLine="634"/>
        <w:spacing w:before="141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8.</w:t>
      </w:r>
      <w:r>
        <w:rPr>
          <w:spacing w:val="7"/>
        </w:rPr>
        <w:t>本硕贯通培养的课程体系、学分认定、弹性学制、资源共</w:t>
      </w:r>
      <w:r>
        <w:rPr>
          <w:spacing w:val="5"/>
        </w:rPr>
        <w:t>享配套制度改革；</w:t>
      </w:r>
    </w:p>
    <w:p>
      <w:pPr>
        <w:pStyle w:val="BodyText"/>
        <w:ind w:left="1542" w:right="1530" w:firstLine="642"/>
        <w:spacing w:before="138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9.</w:t>
      </w:r>
      <w:r>
        <w:rPr>
          <w:spacing w:val="7"/>
        </w:rPr>
        <w:t>教学管理数字化治理改革，培养方案管理、教学运行、考</w:t>
      </w:r>
      <w:r>
        <w:rPr>
          <w:spacing w:val="8"/>
        </w:rPr>
        <w:t>核评价、学位管理一体化流程再造；</w:t>
      </w:r>
    </w:p>
    <w:p>
      <w:pPr>
        <w:pStyle w:val="BodyText"/>
        <w:ind w:left="2209"/>
        <w:spacing w:before="141" w:line="419" w:lineRule="exact"/>
        <w:rPr/>
      </w:pPr>
      <w:r>
        <w:rPr>
          <w:rFonts w:ascii="Times New Roman" w:hAnsi="Times New Roman" w:eastAsia="Times New Roman" w:cs="Times New Roman"/>
          <w:spacing w:val="7"/>
          <w:position w:val="2"/>
        </w:rPr>
        <w:t>10.</w:t>
      </w:r>
      <w:r>
        <w:rPr>
          <w:spacing w:val="7"/>
          <w:position w:val="2"/>
        </w:rPr>
        <w:t>专业课程全省统测与全省本科教学巡课机制建设研究。</w:t>
      </w:r>
    </w:p>
    <w:p>
      <w:pPr>
        <w:ind w:left="2194"/>
        <w:spacing w:before="188" w:line="220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七、深化创新创业与实践教育改革</w:t>
      </w:r>
    </w:p>
    <w:p>
      <w:pPr>
        <w:pStyle w:val="BodyText"/>
        <w:ind w:left="2209"/>
        <w:spacing w:before="142" w:line="419" w:lineRule="exact"/>
        <w:rPr/>
      </w:pPr>
      <w:r>
        <w:rPr>
          <w:rFonts w:ascii="Times New Roman" w:hAnsi="Times New Roman" w:eastAsia="Times New Roman" w:cs="Times New Roman"/>
          <w:spacing w:val="7"/>
          <w:position w:val="2"/>
        </w:rPr>
        <w:t>1.</w:t>
      </w:r>
      <w:r>
        <w:rPr>
          <w:spacing w:val="7"/>
          <w:position w:val="2"/>
        </w:rPr>
        <w:t>大学生实习实践制度与实习组织管理模式创新研究；</w:t>
      </w:r>
    </w:p>
    <w:p>
      <w:pPr>
        <w:pStyle w:val="BodyText"/>
        <w:ind w:left="1553" w:right="1531" w:firstLine="625"/>
        <w:spacing w:before="142" w:line="292" w:lineRule="auto"/>
        <w:rPr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校企双导师协同育人的权责划分、考核激励与双</w:t>
      </w:r>
      <w:r>
        <w:rPr>
          <w:spacing w:val="7"/>
        </w:rPr>
        <w:t>向流动机</w:t>
      </w:r>
      <w:r>
        <w:rPr>
          <w:spacing w:val="1"/>
        </w:rPr>
        <w:t>制研究；</w:t>
      </w:r>
    </w:p>
    <w:p>
      <w:pPr>
        <w:pStyle w:val="BodyText"/>
        <w:ind w:left="2185"/>
        <w:spacing w:before="138" w:line="419" w:lineRule="exact"/>
        <w:rPr/>
      </w:pPr>
      <w:r>
        <w:rPr>
          <w:rFonts w:ascii="Times New Roman" w:hAnsi="Times New Roman" w:eastAsia="Times New Roman" w:cs="Times New Roman"/>
          <w:spacing w:val="7"/>
          <w:position w:val="1"/>
        </w:rPr>
        <w:t>3.</w:t>
      </w:r>
      <w:r>
        <w:rPr>
          <w:spacing w:val="7"/>
          <w:position w:val="1"/>
        </w:rPr>
        <w:t>创新创业教育体系迭代优化，基于专业教育的专创融合教</w:t>
      </w:r>
    </w:p>
    <w:p>
      <w:pPr>
        <w:spacing w:line="419" w:lineRule="exact"/>
        <w:sectPr>
          <w:headerReference w:type="default" r:id="rId5"/>
          <w:footerReference w:type="default" r:id="rId8"/>
          <w:pgSz w:w="11906" w:h="16839"/>
          <w:pgMar w:top="400" w:right="0" w:bottom="1773" w:left="0" w:header="0" w:footer="1405" w:gutter="0"/>
        </w:sectPr>
        <w:rPr/>
      </w:pP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1547"/>
        <w:spacing w:before="101" w:line="222" w:lineRule="auto"/>
        <w:rPr/>
      </w:pPr>
      <w:r>
        <w:rPr>
          <w:spacing w:val="-4"/>
        </w:rPr>
        <w:t>育；</w:t>
      </w:r>
    </w:p>
    <w:p>
      <w:pPr>
        <w:pStyle w:val="BodyText"/>
        <w:ind w:left="2177"/>
        <w:spacing w:before="137" w:line="418" w:lineRule="exact"/>
        <w:rPr/>
      </w:pPr>
      <w:r>
        <w:rPr>
          <w:rFonts w:ascii="Times New Roman" w:hAnsi="Times New Roman" w:eastAsia="Times New Roman" w:cs="Times New Roman"/>
          <w:spacing w:val="2"/>
          <w:position w:val="2"/>
        </w:rPr>
        <w:t>4.</w:t>
      </w:r>
      <w:r>
        <w:rPr>
          <w:spacing w:val="2"/>
          <w:position w:val="2"/>
        </w:rPr>
        <w:t>按照“四题一评”模式专业学位研究生真题真做培养</w:t>
      </w:r>
      <w:r>
        <w:rPr>
          <w:spacing w:val="1"/>
          <w:position w:val="2"/>
        </w:rPr>
        <w:t>创新；</w:t>
      </w:r>
    </w:p>
    <w:p>
      <w:pPr>
        <w:pStyle w:val="BodyText"/>
        <w:ind w:left="1546" w:right="1533" w:firstLine="641"/>
        <w:spacing w:before="188" w:line="278" w:lineRule="auto"/>
        <w:rPr/>
      </w:pPr>
      <w:r>
        <w:rPr>
          <w:rFonts w:ascii="Times New Roman" w:hAnsi="Times New Roman" w:eastAsia="Times New Roman" w:cs="Times New Roman"/>
          <w:spacing w:val="6"/>
        </w:rPr>
        <w:t>5.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6"/>
        </w:rPr>
        <w:t>学科竞赛驱动下学生复杂工程问题解决能力、创新能力培</w:t>
      </w:r>
      <w:r>
        <w:rPr>
          <w:spacing w:val="3"/>
        </w:rPr>
        <w:t>养实践；</w:t>
      </w:r>
    </w:p>
    <w:p>
      <w:pPr>
        <w:pStyle w:val="BodyText"/>
        <w:ind w:left="2185"/>
        <w:spacing w:before="139" w:line="419" w:lineRule="exact"/>
        <w:rPr/>
      </w:pPr>
      <w:r>
        <w:rPr>
          <w:rFonts w:ascii="Times New Roman" w:hAnsi="Times New Roman" w:eastAsia="Times New Roman" w:cs="Times New Roman"/>
          <w:spacing w:val="8"/>
          <w:position w:val="2"/>
        </w:rPr>
        <w:t>6.</w:t>
      </w:r>
      <w:r>
        <w:rPr>
          <w:spacing w:val="8"/>
          <w:position w:val="2"/>
        </w:rPr>
        <w:t>研究生入企培养质量保障与过程管理研究；</w:t>
      </w:r>
    </w:p>
    <w:p>
      <w:pPr>
        <w:pStyle w:val="BodyText"/>
        <w:ind w:left="2183"/>
        <w:spacing w:before="190" w:line="222" w:lineRule="auto"/>
        <w:rPr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公共基础课、实践教学和实验教学改革研究与实践；</w:t>
      </w:r>
    </w:p>
    <w:p>
      <w:pPr>
        <w:pStyle w:val="BodyText"/>
        <w:ind w:left="1577" w:right="1533" w:firstLine="614"/>
        <w:spacing w:before="139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8.</w:t>
      </w:r>
      <w:r>
        <w:rPr>
          <w:spacing w:val="7"/>
        </w:rPr>
        <w:t>研究生联合培养基地提质增效、过程监管与培养质量评价</w:t>
      </w:r>
      <w:r>
        <w:rPr>
          <w:spacing w:val="-10"/>
        </w:rPr>
        <w:t>改革。</w:t>
      </w:r>
    </w:p>
    <w:p>
      <w:pPr>
        <w:ind w:left="2185"/>
        <w:spacing w:before="189" w:line="222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八、提高教师（导师）教学能力</w:t>
      </w:r>
    </w:p>
    <w:p>
      <w:pPr>
        <w:pStyle w:val="BodyText"/>
        <w:ind w:left="2209"/>
        <w:spacing w:before="137" w:line="419" w:lineRule="exact"/>
        <w:rPr/>
      </w:pPr>
      <w:r>
        <w:rPr>
          <w:rFonts w:ascii="Times New Roman" w:hAnsi="Times New Roman" w:eastAsia="Times New Roman" w:cs="Times New Roman"/>
          <w:spacing w:val="7"/>
          <w:position w:val="1"/>
        </w:rPr>
        <w:t>1.</w:t>
      </w:r>
      <w:r>
        <w:rPr>
          <w:spacing w:val="7"/>
          <w:position w:val="1"/>
        </w:rPr>
        <w:t>高校教师教学质量评价和教学激励机制研究；</w:t>
      </w:r>
    </w:p>
    <w:p>
      <w:pPr>
        <w:pStyle w:val="BodyText"/>
        <w:ind w:left="1553" w:right="1533" w:firstLine="625"/>
        <w:spacing w:before="142" w:line="292" w:lineRule="auto"/>
        <w:rPr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教师教学发展体系重构，青年教师教学能力</w:t>
      </w:r>
      <w:r>
        <w:rPr>
          <w:spacing w:val="7"/>
        </w:rPr>
        <w:t>阶梯式成长机</w:t>
      </w:r>
      <w:r>
        <w:rPr>
          <w:spacing w:val="-7"/>
        </w:rPr>
        <w:t>制；</w:t>
      </w:r>
    </w:p>
    <w:p>
      <w:pPr>
        <w:pStyle w:val="BodyText"/>
        <w:ind w:left="1541" w:right="1530" w:firstLine="644"/>
        <w:spacing w:before="138" w:line="292" w:lineRule="auto"/>
        <w:rPr/>
      </w:pPr>
      <w:r>
        <w:rPr>
          <w:rFonts w:ascii="Times New Roman" w:hAnsi="Times New Roman" w:eastAsia="Times New Roman" w:cs="Times New Roman"/>
          <w:spacing w:val="6"/>
        </w:rPr>
        <w:t>3.</w:t>
      </w:r>
      <w:r>
        <w:rPr>
          <w:spacing w:val="6"/>
        </w:rPr>
        <w:t>地方高水平应用型本科高校</w:t>
      </w:r>
      <w:r>
        <w:rPr>
          <w:spacing w:val="-111"/>
        </w:rPr>
        <w:t xml:space="preserve"> </w:t>
      </w:r>
      <w:r>
        <w:rPr>
          <w:spacing w:val="6"/>
        </w:rPr>
        <w:t>“双师双能型”教师培养、激</w:t>
      </w:r>
      <w:r>
        <w:rPr>
          <w:spacing w:val="8"/>
        </w:rPr>
        <w:t>励、管理一体化制度创新研究；</w:t>
      </w:r>
    </w:p>
    <w:p>
      <w:pPr>
        <w:pStyle w:val="BodyText"/>
        <w:ind w:left="2177"/>
        <w:spacing w:before="141" w:line="418" w:lineRule="exact"/>
        <w:rPr/>
      </w:pPr>
      <w:r>
        <w:rPr>
          <w:rFonts w:ascii="Times New Roman" w:hAnsi="Times New Roman" w:eastAsia="Times New Roman" w:cs="Times New Roman"/>
          <w:spacing w:val="9"/>
          <w:position w:val="2"/>
        </w:rPr>
        <w:t>4.</w:t>
      </w:r>
      <w:r>
        <w:rPr>
          <w:spacing w:val="9"/>
          <w:position w:val="2"/>
        </w:rPr>
        <w:t>教师教学能力、产业实践能力提升途径与制度建设</w:t>
      </w:r>
      <w:r>
        <w:rPr>
          <w:spacing w:val="8"/>
          <w:position w:val="2"/>
        </w:rPr>
        <w:t>研究；</w:t>
      </w:r>
    </w:p>
    <w:p>
      <w:pPr>
        <w:pStyle w:val="BodyText"/>
        <w:ind w:left="2187"/>
        <w:spacing w:before="189" w:line="222" w:lineRule="auto"/>
        <w:rPr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教务员队伍专业化建设与激励机制改革研究；</w:t>
      </w:r>
    </w:p>
    <w:p>
      <w:pPr>
        <w:pStyle w:val="BodyText"/>
        <w:ind w:left="1547" w:right="1531" w:firstLine="638"/>
        <w:spacing w:before="139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6.</w:t>
      </w:r>
      <w:r>
        <w:rPr>
          <w:spacing w:val="7"/>
        </w:rPr>
        <w:t>和谐导学关系构建及导学关系风险预警、矛盾调处与多元</w:t>
      </w:r>
      <w:r>
        <w:rPr>
          <w:spacing w:val="8"/>
        </w:rPr>
        <w:t>协同保障机制、常态化导学互动机制研究；</w:t>
      </w:r>
    </w:p>
    <w:p>
      <w:pPr>
        <w:pStyle w:val="BodyText"/>
        <w:ind w:left="2183"/>
        <w:spacing w:before="188" w:line="222" w:lineRule="auto"/>
        <w:rPr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spacing w:val="7"/>
        </w:rPr>
        <w:t>研究生导师履职评价体系研究；</w:t>
      </w:r>
    </w:p>
    <w:p>
      <w:pPr>
        <w:pStyle w:val="BodyText"/>
        <w:ind w:left="2191"/>
        <w:spacing w:before="138" w:line="418" w:lineRule="exact"/>
        <w:rPr/>
      </w:pPr>
      <w:r>
        <w:rPr>
          <w:rFonts w:ascii="Times New Roman" w:hAnsi="Times New Roman" w:eastAsia="Times New Roman" w:cs="Times New Roman"/>
          <w:spacing w:val="5"/>
          <w:position w:val="2"/>
        </w:rPr>
        <w:t>8.</w:t>
      </w:r>
      <w:r>
        <w:rPr>
          <w:spacing w:val="5"/>
          <w:position w:val="2"/>
        </w:rPr>
        <w:t>人工智能时代</w:t>
      </w:r>
      <w:r>
        <w:rPr>
          <w:spacing w:val="-92"/>
          <w:position w:val="2"/>
        </w:rPr>
        <w:t xml:space="preserve"> </w:t>
      </w:r>
      <w:r>
        <w:rPr>
          <w:spacing w:val="5"/>
          <w:position w:val="2"/>
        </w:rPr>
        <w:t>“卓越教师学院”研究与探索。</w:t>
      </w:r>
    </w:p>
    <w:p>
      <w:pPr>
        <w:ind w:left="2190"/>
        <w:spacing w:before="193" w:line="222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九、深化教育教学评价改革</w:t>
      </w:r>
    </w:p>
    <w:p>
      <w:pPr>
        <w:pStyle w:val="BodyText"/>
        <w:ind w:left="2209"/>
        <w:spacing w:before="137" w:line="418" w:lineRule="exact"/>
        <w:rPr/>
      </w:pPr>
      <w:r>
        <w:rPr>
          <w:rFonts w:ascii="Times New Roman" w:hAnsi="Times New Roman" w:eastAsia="Times New Roman" w:cs="Times New Roman"/>
          <w:spacing w:val="6"/>
          <w:position w:val="2"/>
        </w:rPr>
        <w:t>1.</w:t>
      </w:r>
      <w:r>
        <w:rPr>
          <w:spacing w:val="6"/>
          <w:position w:val="2"/>
        </w:rPr>
        <w:t>人才培养质量保障体系创新研究与实践；</w:t>
      </w:r>
    </w:p>
    <w:p>
      <w:pPr>
        <w:pStyle w:val="BodyText"/>
        <w:ind w:left="2178"/>
        <w:spacing w:before="141" w:line="419" w:lineRule="exact"/>
        <w:rPr/>
      </w:pPr>
      <w:r>
        <w:rPr>
          <w:rFonts w:ascii="Times New Roman" w:hAnsi="Times New Roman" w:eastAsia="Times New Roman" w:cs="Times New Roman"/>
          <w:spacing w:val="8"/>
          <w:position w:val="2"/>
        </w:rPr>
        <w:t>2.</w:t>
      </w:r>
      <w:r>
        <w:rPr>
          <w:spacing w:val="8"/>
          <w:position w:val="2"/>
        </w:rPr>
        <w:t>人工智能赋能专业评价、学生评价的改革与实践；</w:t>
      </w:r>
    </w:p>
    <w:p>
      <w:pPr>
        <w:spacing w:line="419" w:lineRule="exact"/>
        <w:sectPr>
          <w:headerReference w:type="default" r:id="rId1"/>
          <w:footerReference w:type="default" r:id="rId9"/>
          <w:pgSz w:w="11906" w:h="16839"/>
          <w:pgMar w:top="400" w:right="0" w:bottom="1773" w:left="0" w:header="0" w:footer="1408" w:gutter="0"/>
        </w:sectPr>
        <w:rPr/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1543" w:right="1533" w:firstLine="641"/>
        <w:spacing w:before="101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spacing w:val="7"/>
        </w:rPr>
        <w:t>教学贡献导向的教师评价改革，教学成果与科研成果等效</w:t>
      </w:r>
      <w:r>
        <w:rPr>
          <w:spacing w:val="6"/>
        </w:rPr>
        <w:t>评价机制研究；</w:t>
      </w:r>
    </w:p>
    <w:p>
      <w:pPr>
        <w:pStyle w:val="BodyText"/>
        <w:ind w:left="1541" w:right="1531" w:firstLine="636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8"/>
        </w:rPr>
        <w:t>4.</w:t>
      </w:r>
      <w:r>
        <w:rPr>
          <w:spacing w:val="8"/>
        </w:rPr>
        <w:t>高校、学院、专业、课程、课堂分层分类教学质量评</w:t>
      </w:r>
      <w:r>
        <w:rPr>
          <w:spacing w:val="7"/>
        </w:rPr>
        <w:t>价指</w:t>
      </w:r>
      <w:r>
        <w:rPr>
          <w:spacing w:val="8"/>
        </w:rPr>
        <w:t>标体系，适配高校分类发展差异化评价；</w:t>
      </w:r>
    </w:p>
    <w:p>
      <w:pPr>
        <w:pStyle w:val="BodyText"/>
        <w:ind w:left="1543" w:right="1531" w:firstLine="643"/>
        <w:spacing w:before="188" w:line="277" w:lineRule="auto"/>
        <w:rPr/>
      </w:pPr>
      <w:r>
        <w:rPr>
          <w:rFonts w:ascii="Times New Roman" w:hAnsi="Times New Roman" w:eastAsia="Times New Roman" w:cs="Times New Roman"/>
          <w:spacing w:val="5"/>
        </w:rPr>
        <w:t>5.</w:t>
      </w:r>
      <w:r>
        <w:rPr>
          <w:rFonts w:ascii="Times New Roman" w:hAnsi="Times New Roman" w:eastAsia="Times New Roman" w:cs="Times New Roman"/>
          <w:spacing w:val="-9"/>
        </w:rPr>
        <w:t xml:space="preserve"> </w:t>
      </w:r>
      <w:r>
        <w:rPr>
          <w:spacing w:val="5"/>
        </w:rPr>
        <w:t>以学生为中心的多元化评价体系，破除五唯背景下考试评</w:t>
      </w:r>
      <w:r>
        <w:rPr>
          <w:spacing w:val="8"/>
        </w:rPr>
        <w:t>价、过程性评价、学分制改革研究与实践；</w:t>
      </w:r>
    </w:p>
    <w:p>
      <w:pPr>
        <w:pStyle w:val="BodyText"/>
        <w:ind w:left="1541" w:right="1531" w:firstLine="644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6.</w:t>
      </w:r>
      <w:r>
        <w:rPr>
          <w:spacing w:val="7"/>
        </w:rPr>
        <w:t>基于学生成长增值的人才培养成效监测、数据分析与改进</w:t>
      </w:r>
      <w:r>
        <w:rPr>
          <w:spacing w:val="2"/>
        </w:rPr>
        <w:t>机制；</w:t>
      </w:r>
    </w:p>
    <w:p>
      <w:pPr>
        <w:pStyle w:val="BodyText"/>
        <w:ind w:left="2183"/>
        <w:spacing w:before="188" w:line="222" w:lineRule="auto"/>
        <w:rPr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专业学位研究生实践成果评价机制研究；</w:t>
      </w:r>
    </w:p>
    <w:p>
      <w:pPr>
        <w:pStyle w:val="BodyText"/>
        <w:ind w:left="2191"/>
        <w:spacing w:before="138" w:line="419" w:lineRule="exact"/>
        <w:rPr/>
      </w:pPr>
      <w:r>
        <w:rPr>
          <w:rFonts w:ascii="Times New Roman" w:hAnsi="Times New Roman" w:eastAsia="Times New Roman" w:cs="Times New Roman"/>
          <w:spacing w:val="7"/>
          <w:position w:val="2"/>
        </w:rPr>
        <w:t>8.</w:t>
      </w:r>
      <w:r>
        <w:rPr>
          <w:rFonts w:ascii="Times New Roman" w:hAnsi="Times New Roman" w:eastAsia="Times New Roman" w:cs="Times New Roman"/>
          <w:position w:val="2"/>
        </w:rPr>
        <w:t>AI</w:t>
      </w:r>
      <w:r>
        <w:rPr>
          <w:rFonts w:ascii="Times New Roman" w:hAnsi="Times New Roman" w:eastAsia="Times New Roman" w:cs="Times New Roman"/>
          <w:spacing w:val="7"/>
          <w:position w:val="2"/>
        </w:rPr>
        <w:t xml:space="preserve"> </w:t>
      </w:r>
      <w:r>
        <w:rPr>
          <w:spacing w:val="7"/>
          <w:position w:val="2"/>
        </w:rPr>
        <w:t>赋能过程性考核、非标准答案评价改革。</w:t>
      </w:r>
    </w:p>
    <w:p>
      <w:pPr>
        <w:ind w:left="2193"/>
        <w:spacing w:before="189" w:line="222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十、构建面向未来的高等教育新形态</w:t>
      </w:r>
    </w:p>
    <w:p>
      <w:pPr>
        <w:pStyle w:val="BodyText"/>
        <w:ind w:left="1541" w:right="1217" w:firstLine="668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6"/>
        </w:rPr>
        <w:t>1.</w:t>
      </w:r>
      <w:r>
        <w:rPr>
          <w:rFonts w:ascii="Times New Roman" w:hAnsi="Times New Roman" w:eastAsia="Times New Roman" w:cs="Times New Roman"/>
          <w:spacing w:val="-54"/>
        </w:rPr>
        <w:t xml:space="preserve"> </w:t>
      </w:r>
      <w:r>
        <w:rPr>
          <w:spacing w:val="6"/>
        </w:rPr>
        <w:t>“未来课堂”“未来教师”“未来学校”“未</w:t>
      </w:r>
      <w:r>
        <w:rPr>
          <w:spacing w:val="5"/>
        </w:rPr>
        <w:t>来学习中心”</w:t>
      </w:r>
      <w:r>
        <w:rPr>
          <w:spacing w:val="7"/>
        </w:rPr>
        <w:t>建设研究与实践；</w:t>
      </w:r>
    </w:p>
    <w:p>
      <w:pPr>
        <w:pStyle w:val="BodyText"/>
        <w:ind w:left="2178"/>
        <w:spacing w:before="138" w:line="418" w:lineRule="exact"/>
        <w:rPr/>
      </w:pPr>
      <w:r>
        <w:rPr>
          <w:rFonts w:ascii="Times New Roman" w:hAnsi="Times New Roman" w:eastAsia="Times New Roman" w:cs="Times New Roman"/>
          <w:spacing w:val="8"/>
          <w:position w:val="2"/>
        </w:rPr>
        <w:t>2.</w:t>
      </w:r>
      <w:r>
        <w:rPr>
          <w:spacing w:val="8"/>
          <w:position w:val="2"/>
        </w:rPr>
        <w:t>人工智能赋能教育教学改革研究与实践；</w:t>
      </w:r>
    </w:p>
    <w:p>
      <w:pPr>
        <w:pStyle w:val="BodyText"/>
        <w:ind w:left="1542" w:right="1533" w:firstLine="642"/>
        <w:spacing w:before="144" w:line="292" w:lineRule="auto"/>
        <w:rPr/>
      </w:pPr>
      <w:r>
        <w:rPr>
          <w:rFonts w:ascii="Times New Roman" w:hAnsi="Times New Roman" w:eastAsia="Times New Roman" w:cs="Times New Roman"/>
          <w:spacing w:val="11"/>
        </w:rPr>
        <w:t>3.</w:t>
      </w:r>
      <w:r>
        <w:rPr>
          <w:spacing w:val="11"/>
        </w:rPr>
        <w:t>基于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48"/>
        </w:rPr>
        <w:t xml:space="preserve"> </w:t>
      </w:r>
      <w:r>
        <w:rPr>
          <w:spacing w:val="11"/>
        </w:rPr>
        <w:t>的个性化学习支持、学业智能诊断、学习风险预</w:t>
      </w:r>
      <w:r>
        <w:rPr>
          <w:spacing w:val="6"/>
        </w:rPr>
        <w:t>警体系建设；</w:t>
      </w:r>
    </w:p>
    <w:p>
      <w:pPr>
        <w:pStyle w:val="BodyText"/>
        <w:ind w:left="1543" w:right="1533" w:firstLine="633"/>
        <w:spacing w:before="136" w:line="292" w:lineRule="auto"/>
        <w:rPr/>
      </w:pPr>
      <w:r>
        <w:rPr>
          <w:rFonts w:ascii="Times New Roman" w:hAnsi="Times New Roman" w:eastAsia="Times New Roman" w:cs="Times New Roman"/>
          <w:spacing w:val="20"/>
        </w:rPr>
        <w:t>4.</w:t>
      </w:r>
      <w:r>
        <w:rPr>
          <w:spacing w:val="20"/>
        </w:rPr>
        <w:t>虚拟仿真实验教学体系升级、虚实融合实践教学平台建</w:t>
      </w:r>
      <w:r>
        <w:rPr>
          <w:spacing w:val="8"/>
        </w:rPr>
        <w:t>设，高风险、高成本共享性实验实训场景改革；</w:t>
      </w:r>
    </w:p>
    <w:p>
      <w:pPr>
        <w:pStyle w:val="BodyText"/>
        <w:ind w:left="2187"/>
        <w:spacing w:before="190" w:line="222" w:lineRule="auto"/>
        <w:rPr/>
      </w:pPr>
      <w:r>
        <w:rPr>
          <w:rFonts w:ascii="Times New Roman" w:hAnsi="Times New Roman" w:eastAsia="Times New Roman" w:cs="Times New Roman"/>
          <w:spacing w:val="7"/>
        </w:rPr>
        <w:t>5.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7"/>
        </w:rPr>
        <w:t>驱动教学管理变革实践研究；</w:t>
      </w:r>
    </w:p>
    <w:p>
      <w:pPr>
        <w:pStyle w:val="BodyText"/>
        <w:ind w:left="1563" w:right="1533" w:firstLine="621"/>
        <w:spacing w:before="137" w:line="293" w:lineRule="auto"/>
        <w:rPr/>
      </w:pPr>
      <w:r>
        <w:rPr>
          <w:rFonts w:ascii="Times New Roman" w:hAnsi="Times New Roman" w:eastAsia="Times New Roman" w:cs="Times New Roman"/>
          <w:spacing w:val="12"/>
        </w:rPr>
        <w:t>6.</w:t>
      </w:r>
      <w:r>
        <w:rPr>
          <w:spacing w:val="12"/>
        </w:rPr>
        <w:t>分层分类的高校师生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12"/>
        </w:rPr>
        <w:t>数字素养培育体系（教师、本科</w:t>
      </w:r>
      <w:r>
        <w:rPr>
          <w:spacing w:val="12"/>
        </w:rPr>
        <w:t>生、研究生</w:t>
      </w:r>
      <w:r>
        <w:rPr>
          <w:spacing w:val="-2"/>
        </w:rPr>
        <w:t>）；</w:t>
      </w:r>
    </w:p>
    <w:p>
      <w:pPr>
        <w:pStyle w:val="BodyText"/>
        <w:ind w:left="1553" w:right="1531" w:firstLine="630"/>
        <w:spacing w:before="185" w:line="278" w:lineRule="auto"/>
        <w:rPr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spacing w:val="7"/>
        </w:rPr>
        <w:t>人工智能赋能学生科研训练、文献研读、学术规范教育实</w:t>
      </w:r>
      <w:r>
        <w:rPr>
          <w:spacing w:val="1"/>
        </w:rPr>
        <w:t>践探索；</w:t>
      </w:r>
    </w:p>
    <w:p>
      <w:pPr>
        <w:spacing w:line="278" w:lineRule="auto"/>
        <w:sectPr>
          <w:headerReference w:type="default" r:id="rId10"/>
          <w:footerReference w:type="default" r:id="rId11"/>
          <w:pgSz w:w="11906" w:h="16839"/>
          <w:pgMar w:top="400" w:right="0" w:bottom="1773" w:left="0" w:header="0" w:footer="1408" w:gutter="0"/>
        </w:sectPr>
        <w:rPr/>
      </w:pP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2191"/>
        <w:spacing w:before="101" w:line="419" w:lineRule="exact"/>
        <w:rPr/>
      </w:pPr>
      <w:r>
        <w:rPr>
          <w:rFonts w:ascii="Times New Roman" w:hAnsi="Times New Roman" w:eastAsia="Times New Roman" w:cs="Times New Roman"/>
          <w:spacing w:val="6"/>
          <w:position w:val="2"/>
        </w:rPr>
        <w:t>8.</w:t>
      </w:r>
      <w:r>
        <w:rPr>
          <w:rFonts w:ascii="Times New Roman" w:hAnsi="Times New Roman" w:eastAsia="Times New Roman" w:cs="Times New Roman"/>
          <w:spacing w:val="-37"/>
          <w:position w:val="2"/>
        </w:rPr>
        <w:t xml:space="preserve"> </w:t>
      </w:r>
      <w:r>
        <w:rPr>
          <w:spacing w:val="6"/>
          <w:position w:val="2"/>
        </w:rPr>
        <w:t>生成式人工智能背景下学术伦理教育研究。</w:t>
      </w:r>
    </w:p>
    <w:p>
      <w:pPr>
        <w:ind w:left="2193"/>
        <w:spacing w:before="189" w:line="222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十一、高水平对外开放和全球胜任力人才培养</w:t>
      </w:r>
    </w:p>
    <w:p>
      <w:pPr>
        <w:pStyle w:val="BodyText"/>
        <w:ind w:left="2209"/>
        <w:spacing w:before="139" w:line="419" w:lineRule="exact"/>
        <w:rPr/>
      </w:pPr>
      <w:r>
        <w:rPr>
          <w:rFonts w:ascii="Times New Roman" w:hAnsi="Times New Roman" w:eastAsia="Times New Roman" w:cs="Times New Roman"/>
          <w:spacing w:val="4"/>
          <w:position w:val="2"/>
        </w:rPr>
        <w:t>1.</w:t>
      </w:r>
      <w:r>
        <w:rPr>
          <w:spacing w:val="4"/>
          <w:position w:val="2"/>
        </w:rPr>
        <w:t>跨校联合培养、</w:t>
      </w:r>
      <w:r>
        <w:rPr>
          <w:spacing w:val="-80"/>
          <w:position w:val="2"/>
        </w:rPr>
        <w:t xml:space="preserve"> </w:t>
      </w:r>
      <w:r>
        <w:rPr>
          <w:spacing w:val="4"/>
          <w:position w:val="2"/>
        </w:rPr>
        <w:t>区域教学共同体的研究与实践；</w:t>
      </w:r>
    </w:p>
    <w:p>
      <w:pPr>
        <w:pStyle w:val="BodyText"/>
        <w:ind w:left="1543" w:right="1533" w:firstLine="635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20"/>
        </w:rPr>
        <w:t>2.</w:t>
      </w:r>
      <w:r>
        <w:rPr>
          <w:spacing w:val="20"/>
        </w:rPr>
        <w:t>服务浙江高水平对外开放的复合型国际化人才培养体系</w:t>
      </w:r>
      <w:r>
        <w:rPr>
          <w:spacing w:val="1"/>
        </w:rPr>
        <w:t>构建；</w:t>
      </w:r>
    </w:p>
    <w:p>
      <w:pPr>
        <w:pStyle w:val="BodyText"/>
        <w:ind w:left="1559" w:right="1531" w:firstLine="625"/>
        <w:spacing w:before="140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spacing w:val="7"/>
        </w:rPr>
        <w:t>本土国际化育人体系建设：不出国学生全球胜任力课程与</w:t>
      </w:r>
      <w:r>
        <w:rPr>
          <w:spacing w:val="2"/>
        </w:rPr>
        <w:t>实践体系；</w:t>
      </w:r>
    </w:p>
    <w:p>
      <w:pPr>
        <w:pStyle w:val="BodyText"/>
        <w:ind w:left="2177"/>
        <w:spacing w:before="137" w:line="419" w:lineRule="exact"/>
        <w:rPr/>
      </w:pPr>
      <w:r>
        <w:rPr>
          <w:rFonts w:ascii="Times New Roman" w:hAnsi="Times New Roman" w:eastAsia="Times New Roman" w:cs="Times New Roman"/>
          <w:spacing w:val="7"/>
          <w:position w:val="2"/>
        </w:rPr>
        <w:t>4.</w:t>
      </w:r>
      <w:r>
        <w:rPr>
          <w:rFonts w:ascii="Times New Roman" w:hAnsi="Times New Roman" w:eastAsia="Times New Roman" w:cs="Times New Roman"/>
          <w:spacing w:val="-26"/>
          <w:position w:val="2"/>
        </w:rPr>
        <w:t xml:space="preserve"> </w:t>
      </w:r>
      <w:r>
        <w:rPr>
          <w:spacing w:val="7"/>
          <w:position w:val="2"/>
        </w:rPr>
        <w:t>中外联合培养本研项目质量保障、跨文化育人机制改革；</w:t>
      </w:r>
    </w:p>
    <w:p>
      <w:pPr>
        <w:pStyle w:val="BodyText"/>
        <w:ind w:left="1536" w:right="1533" w:firstLine="651"/>
        <w:spacing w:before="190" w:line="278" w:lineRule="auto"/>
        <w:rPr/>
      </w:pPr>
      <w:r>
        <w:rPr>
          <w:rFonts w:ascii="Times New Roman" w:hAnsi="Times New Roman" w:eastAsia="Times New Roman" w:cs="Times New Roman"/>
          <w:spacing w:val="7"/>
        </w:rPr>
        <w:t>5.</w:t>
      </w:r>
      <w:r>
        <w:rPr>
          <w:spacing w:val="7"/>
        </w:rPr>
        <w:t>服务中国企业“走出去”战略的海外卓越工程师培养模式</w:t>
      </w:r>
      <w:r>
        <w:rPr>
          <w:spacing w:val="7"/>
        </w:rPr>
        <w:t>创新与实践；</w:t>
      </w:r>
    </w:p>
    <w:p>
      <w:pPr>
        <w:pStyle w:val="BodyText"/>
        <w:ind w:left="1553" w:right="1531" w:firstLine="632"/>
        <w:spacing w:before="139" w:line="292" w:lineRule="auto"/>
        <w:rPr/>
      </w:pPr>
      <w:r>
        <w:rPr>
          <w:rFonts w:ascii="Times New Roman" w:hAnsi="Times New Roman" w:eastAsia="Times New Roman" w:cs="Times New Roman"/>
          <w:spacing w:val="7"/>
        </w:rPr>
        <w:t>6.</w:t>
      </w:r>
      <w:r>
        <w:rPr>
          <w:spacing w:val="7"/>
        </w:rPr>
        <w:t>研究生国际学术交流、联合科研育人的制度保障与激励机</w:t>
      </w:r>
      <w:r>
        <w:rPr>
          <w:spacing w:val="-7"/>
        </w:rPr>
        <w:t>制；</w:t>
      </w:r>
    </w:p>
    <w:p>
      <w:pPr>
        <w:pStyle w:val="BodyText"/>
        <w:ind w:left="2183"/>
        <w:spacing w:before="187" w:line="222" w:lineRule="auto"/>
        <w:rPr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rFonts w:ascii="Times New Roman" w:hAnsi="Times New Roman" w:eastAsia="Times New Roman" w:cs="Times New Roman"/>
          <w:spacing w:val="-33"/>
        </w:rPr>
        <w:t xml:space="preserve"> </w:t>
      </w:r>
      <w:r>
        <w:rPr>
          <w:spacing w:val="7"/>
        </w:rPr>
        <w:t>涉外专业课程、双语课程提质改革与教学质量评价标准；</w:t>
      </w:r>
    </w:p>
    <w:p>
      <w:pPr>
        <w:pStyle w:val="BodyText"/>
        <w:ind w:left="1568" w:right="1533" w:firstLine="622"/>
        <w:spacing w:before="139" w:line="293" w:lineRule="auto"/>
        <w:rPr/>
      </w:pPr>
      <w:r>
        <w:rPr>
          <w:rFonts w:ascii="Times New Roman" w:hAnsi="Times New Roman" w:eastAsia="Times New Roman" w:cs="Times New Roman"/>
          <w:spacing w:val="14"/>
        </w:rPr>
        <w:t>8.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14"/>
        </w:rPr>
        <w:t>中外联合实验室、</w:t>
      </w:r>
      <w:r>
        <w:rPr>
          <w:spacing w:val="-90"/>
        </w:rPr>
        <w:t xml:space="preserve"> </w:t>
      </w:r>
      <w:r>
        <w:rPr>
          <w:spacing w:val="14"/>
        </w:rPr>
        <w:t>国际学术平台支撑人才培养的实践探</w:t>
      </w:r>
      <w:r>
        <w:rPr>
          <w:spacing w:val="-15"/>
        </w:rPr>
        <w:t>索。</w:t>
      </w:r>
    </w:p>
    <w:p>
      <w:pPr>
        <w:ind w:left="2193"/>
        <w:spacing w:before="185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十二、其他方面重点领域方向</w:t>
      </w:r>
    </w:p>
    <w:sectPr>
      <w:footerReference w:type="default" r:id="rId12"/>
      <w:pgSz w:w="11906" w:h="16839"/>
      <w:pgMar w:top="400" w:right="0" w:bottom="1773" w:left="0" w:header="0" w:footer="140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39"/>
      <w:spacing w:line="23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1"/>
      </w:rPr>
      <w:t>-</w:t>
    </w:r>
    <w:r>
      <w:rPr>
        <w:rFonts w:ascii="SimSun" w:hAnsi="SimSun" w:eastAsia="SimSun" w:cs="SimSun"/>
        <w:sz w:val="28"/>
        <w:szCs w:val="28"/>
        <w:spacing w:val="34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10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543"/>
      <w:spacing w:before="1"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1"/>
      </w:rPr>
      <w:t>-</w:t>
    </w:r>
    <w:r>
      <w:rPr>
        <w:rFonts w:ascii="SimSun" w:hAnsi="SimSun" w:eastAsia="SimSun" w:cs="SimSun"/>
        <w:sz w:val="28"/>
        <w:szCs w:val="28"/>
        <w:spacing w:val="34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11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39"/>
      <w:spacing w:before="1"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1"/>
      </w:rPr>
      <w:t>-</w:t>
    </w:r>
    <w:r>
      <w:rPr>
        <w:rFonts w:ascii="SimSun" w:hAnsi="SimSun" w:eastAsia="SimSun" w:cs="SimSun"/>
        <w:sz w:val="28"/>
        <w:szCs w:val="28"/>
        <w:spacing w:val="34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12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543"/>
      <w:spacing w:line="23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1"/>
      </w:rPr>
      <w:t>-</w:t>
    </w:r>
    <w:r>
      <w:rPr>
        <w:rFonts w:ascii="SimSun" w:hAnsi="SimSun" w:eastAsia="SimSun" w:cs="SimSun"/>
        <w:sz w:val="28"/>
        <w:szCs w:val="28"/>
        <w:spacing w:val="34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13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39"/>
      <w:spacing w:before="1" w:line="23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1"/>
      </w:rPr>
      <w:t>-</w:t>
    </w:r>
    <w:r>
      <w:rPr>
        <w:rFonts w:ascii="SimSun" w:hAnsi="SimSun" w:eastAsia="SimSun" w:cs="SimSun"/>
        <w:sz w:val="28"/>
        <w:szCs w:val="28"/>
        <w:spacing w:val="34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14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543"/>
      <w:spacing w:line="23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1"/>
      </w:rPr>
      <w:t>-</w:t>
    </w:r>
    <w:r>
      <w:rPr>
        <w:rFonts w:ascii="SimSun" w:hAnsi="SimSun" w:eastAsia="SimSun" w:cs="SimSun"/>
        <w:sz w:val="28"/>
        <w:szCs w:val="28"/>
        <w:spacing w:val="34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15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39"/>
      <w:spacing w:line="23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1"/>
      </w:rPr>
      <w:t>-</w:t>
    </w:r>
    <w:r>
      <w:rPr>
        <w:rFonts w:ascii="SimSun" w:hAnsi="SimSun" w:eastAsia="SimSun" w:cs="SimSun"/>
        <w:sz w:val="28"/>
        <w:szCs w:val="28"/>
        <w:spacing w:val="34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16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543"/>
      <w:spacing w:line="23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1"/>
      </w:rPr>
      <w:t>-</w:t>
    </w:r>
    <w:r>
      <w:rPr>
        <w:rFonts w:ascii="SimSun" w:hAnsi="SimSun" w:eastAsia="SimSun" w:cs="SimSun"/>
        <w:sz w:val="28"/>
        <w:szCs w:val="28"/>
        <w:spacing w:val="34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17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1"/>
      </w:rPr>
      <w:t>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PowerPlusWaterMarkObject2" style="position:absolute;margin-left:300.271pt;margin-top:393.858pt;mso-position-vertical-relative:page;mso-position-horizontal-relative:page;width:64.7pt;height:11.85pt;z-index:-251658240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4" style="position:absolute;margin-left:70.2714pt;margin-top:393.858pt;mso-position-vertical-relative:page;mso-position-horizontal-relative:page;width:64.7pt;height:11.85pt;z-index:-251657216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6" style="position:absolute;margin-left:230.271pt;margin-top:723.858pt;mso-position-vertical-relative:page;mso-position-horizontal-relative:page;width:64.7pt;height:11.85pt;z-index:-251656192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8" style="position:absolute;margin-left:460.271pt;margin-top:723.858pt;mso-position-vertical-relative:page;mso-position-horizontal-relative:page;width:64.7pt;height:11.85pt;z-index:-251655168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10" style="position:absolute;margin-left:460.271pt;margin-top:63.8579pt;mso-position-vertical-relative:page;mso-position-horizontal-relative:page;width:64.7pt;height:11.85pt;z-index:-251654144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12" style="position:absolute;margin-left:230.271pt;margin-top:63.8579pt;mso-position-vertical-relative:page;mso-position-horizontal-relative:page;width:64.7pt;height:11.85pt;z-index:-251653120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14" style="position:absolute;margin-left:0.2714pt;margin-top:63.8579pt;mso-position-vertical-relative:page;mso-position-horizontal-relative:page;width:64.7pt;height:11.85pt;z-index:-251652096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16" style="position:absolute;margin-left:0.271408pt;margin-top:723.858pt;mso-position-vertical-relative:page;mso-position-horizontal-relative:page;width:64.7pt;height:11.85pt;z-index:-251651072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18" style="position:absolute;margin-left:530.271pt;margin-top:393.858pt;mso-position-vertical-relative:page;mso-position-horizontal-relative:page;width:64.7pt;height:11.85pt;z-index:-251650048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PowerPlusWaterMarkObject20" style="position:absolute;margin-left:70.2714pt;margin-top:393.858pt;mso-position-vertical-relative:page;mso-position-horizontal-relative:page;width:64.7pt;height:11.85pt;z-index:-251649024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22" style="position:absolute;margin-left:230.271pt;margin-top:723.858pt;mso-position-vertical-relative:page;mso-position-horizontal-relative:page;width:64.7pt;height:11.85pt;z-index:-251648000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24" style="position:absolute;margin-left:460.271pt;margin-top:63.8579pt;mso-position-vertical-relative:page;mso-position-horizontal-relative:page;width:64.7pt;height:11.85pt;z-index:-251646976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26" style="position:absolute;margin-left:230.271pt;margin-top:63.8579pt;mso-position-vertical-relative:page;mso-position-horizontal-relative:page;width:64.7pt;height:11.85pt;z-index:-251645952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28" style="position:absolute;margin-left:0.2714pt;margin-top:63.8579pt;mso-position-vertical-relative:page;mso-position-horizontal-relative:page;width:64.7pt;height:11.85pt;z-index:-251644928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30" style="position:absolute;margin-left:460.271pt;margin-top:723.858pt;mso-position-vertical-relative:page;mso-position-horizontal-relative:page;width:64.7pt;height:11.85pt;z-index:-251643904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32" style="position:absolute;margin-left:0.271408pt;margin-top:723.858pt;mso-position-vertical-relative:page;mso-position-horizontal-relative:page;width:64.7pt;height:11.85pt;z-index:-251642880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34" style="position:absolute;margin-left:300.271pt;margin-top:393.858pt;mso-position-vertical-relative:page;mso-position-horizontal-relative:page;width:64.7pt;height:11.85pt;z-index:-251641856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36" style="position:absolute;margin-left:530.271pt;margin-top:393.858pt;mso-position-vertical-relative:page;mso-position-horizontal-relative:page;width:64.7pt;height:11.85pt;z-index:-251640832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PowerPlusWaterMarkObject38" style="position:absolute;margin-left:70.2714pt;margin-top:393.858pt;mso-position-vertical-relative:page;mso-position-horizontal-relative:page;width:64.7pt;height:11.85pt;z-index:-251639808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40" style="position:absolute;margin-left:460.271pt;margin-top:723.858pt;mso-position-vertical-relative:page;mso-position-horizontal-relative:page;width:64.7pt;height:11.85pt;z-index:-251638784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42" style="position:absolute;margin-left:230.271pt;margin-top:723.858pt;mso-position-vertical-relative:page;mso-position-horizontal-relative:page;width:64.7pt;height:11.85pt;z-index:-251637760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44" style="position:absolute;margin-left:460.271pt;margin-top:63.8579pt;mso-position-vertical-relative:page;mso-position-horizontal-relative:page;width:64.7pt;height:11.85pt;z-index:-251636736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46" style="position:absolute;margin-left:230.271pt;margin-top:63.8579pt;mso-position-vertical-relative:page;mso-position-horizontal-relative:page;width:64.7pt;height:11.85pt;z-index:-251635712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48" style="position:absolute;margin-left:0.2714pt;margin-top:63.8579pt;mso-position-vertical-relative:page;mso-position-horizontal-relative:page;width:64.7pt;height:11.85pt;z-index:-251634688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50" style="position:absolute;margin-left:0.271408pt;margin-top:723.858pt;mso-position-vertical-relative:page;mso-position-horizontal-relative:page;width:64.7pt;height:11.85pt;z-index:-251633664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52" style="position:absolute;margin-left:300.271pt;margin-top:393.858pt;mso-position-vertical-relative:page;mso-position-horizontal-relative:page;width:64.7pt;height:11.85pt;z-index:-251632640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54" style="position:absolute;margin-left:530.271pt;margin-top:393.858pt;mso-position-vertical-relative:page;mso-position-horizontal-relative:page;width:64.7pt;height:11.85pt;z-index:-251631616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/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PowerPlusWaterMarkObject56" style="position:absolute;margin-left:70.2714pt;margin-top:393.858pt;mso-position-vertical-relative:page;mso-position-horizontal-relative:page;width:64.7pt;height:11.85pt;z-index:-251630592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58" style="position:absolute;margin-left:300.271pt;margin-top:393.858pt;mso-position-vertical-relative:page;mso-position-horizontal-relative:page;width:64.7pt;height:11.85pt;z-index:-251629568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60" style="position:absolute;margin-left:460.271pt;margin-top:63.8579pt;mso-position-vertical-relative:page;mso-position-horizontal-relative:page;width:64.7pt;height:11.85pt;z-index:-251628544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62" style="position:absolute;margin-left:230.271pt;margin-top:63.8579pt;mso-position-vertical-relative:page;mso-position-horizontal-relative:page;width:64.7pt;height:11.85pt;z-index:-251627520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64" style="position:absolute;margin-left:0.2714pt;margin-top:63.8579pt;mso-position-vertical-relative:page;mso-position-horizontal-relative:page;width:64.7pt;height:11.85pt;z-index:-251626496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66" style="position:absolute;margin-left:460.271pt;margin-top:723.858pt;mso-position-vertical-relative:page;mso-position-horizontal-relative:page;width:64.7pt;height:11.85pt;z-index:-251625472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68" style="position:absolute;margin-left:230.271pt;margin-top:723.858pt;mso-position-vertical-relative:page;mso-position-horizontal-relative:page;width:64.7pt;height:11.85pt;z-index:-251624448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70" style="position:absolute;margin-left:0.271408pt;margin-top:723.858pt;mso-position-vertical-relative:page;mso-position-horizontal-relative:page;width:64.7pt;height:11.85pt;z-index:-251623424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>
      <w:pict>
        <v:shape id="PowerPlusWaterMarkObject72" style="position:absolute;margin-left:530.271pt;margin-top:393.858pt;mso-position-vertical-relative:page;mso-position-horizontal-relative:page;width:64.7pt;height:11.85pt;z-index:-251622400;rotation:345;" o:allowincell="f" fillcolor="#141433" filled="true" stroked="false" type="#_x0000_t136">
          <v:fill opacity="0.200000"/>
          <v:textpath style="font-family:&quot;SimSun&quot;;font-size:11;v-text-kern:t;mso-text-shadow:auto" string="浙江师范大学"/>
        </v:shape>
      </w:pict>
    </w: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3.xml"/><Relationship Id="rId4" Type="http://schemas.openxmlformats.org/officeDocument/2006/relationships/footer" Target="footer2.xml"/><Relationship Id="rId3" Type="http://schemas.openxmlformats.org/officeDocument/2006/relationships/header" Target="header2.xml"/><Relationship Id="rId2" Type="http://schemas.openxmlformats.org/officeDocument/2006/relationships/footer" Target="footer1.xml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header" Target="head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2026-10-16T09:13:37</vt:filetime>
  </property>
</Properties>
</file>