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仿宋" w:hAnsi="仿宋" w:eastAsia="微软雅黑" w:cs="仿宋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浙江师范大学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硕士</w:t>
      </w:r>
      <w:r>
        <w:rPr>
          <w:rFonts w:hint="eastAsia" w:ascii="微软雅黑" w:hAnsi="微软雅黑" w:eastAsia="微软雅黑" w:cs="微软雅黑"/>
          <w:sz w:val="30"/>
          <w:szCs w:val="30"/>
        </w:rPr>
        <w:t>学位论文答辩评分表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（</w:t>
      </w: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专业学位</w:t>
      </w:r>
      <w:r>
        <w:rPr>
          <w:rFonts w:hint="eastAsia" w:ascii="微软雅黑" w:hAnsi="微软雅黑" w:eastAsia="微软雅黑" w:cs="微软雅黑"/>
          <w:sz w:val="30"/>
          <w:szCs w:val="30"/>
          <w:lang w:eastAsia="zh-CN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637"/>
        <w:gridCol w:w="14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专业学位类别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专业学位领域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131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学位论文题目</w:t>
            </w:r>
          </w:p>
        </w:tc>
        <w:tc>
          <w:tcPr>
            <w:tcW w:w="6392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评审项目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评审要素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评价分数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论文选题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选题的理论意义、实用价值等；选题与所属专业学位类别及领域的相关性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2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文献综述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对本领域文献资料掌握的程度；对国内外研究动态的评述是否恰当；对本论文所要研究问题的目的及意义是否论述清楚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研究成果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（30分）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研究成果的理论意义或实用价值；论文的工作量及难易程度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3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专业能力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（20分）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vertAlign w:val="baseline"/>
                <w:lang w:val="en-US" w:eastAsia="zh-CN"/>
              </w:rPr>
              <w:t>是否掌握坚实的理论基础和系统的专业知识；是否具有从事科学研究工作的能力；是否具有一定的分析问题和解决问题的能力，熟练运用研究方法的能力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学术规范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书写规范、概念准确、数据真实、结论正确、条理清晰、文笔流畅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答辩表现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4898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思路清晰、表达流畅、应答切题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7028" w:type="dxa"/>
            <w:gridSpan w:val="4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总分</w:t>
            </w:r>
          </w:p>
        </w:tc>
        <w:tc>
          <w:tcPr>
            <w:tcW w:w="149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</w:trPr>
        <w:tc>
          <w:tcPr>
            <w:tcW w:w="213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总体评价</w:t>
            </w:r>
          </w:p>
        </w:tc>
        <w:tc>
          <w:tcPr>
            <w:tcW w:w="6392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eastAsia="黑体"/>
                <w:sz w:val="28"/>
              </w:rPr>
              <w:sym w:font="Wingdings 2" w:char="00A3"/>
            </w:r>
            <w:r>
              <w:rPr>
                <w:rFonts w:hint="eastAsia" w:eastAsia="黑体"/>
                <w:sz w:val="28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通过答辩</w:t>
            </w:r>
            <w:r>
              <w:rPr>
                <w:rFonts w:eastAsia="黑体"/>
                <w:sz w:val="28"/>
              </w:rPr>
              <w:t xml:space="preserve"> </w:t>
            </w:r>
            <w:r>
              <w:rPr>
                <w:rFonts w:hint="eastAsia" w:eastAsia="黑体"/>
                <w:sz w:val="28"/>
              </w:rPr>
              <w:t xml:space="preserve">    </w:t>
            </w:r>
            <w:r>
              <w:rPr>
                <w:rFonts w:hint="eastAsia" w:ascii="黑体" w:eastAsia="黑体"/>
                <w:sz w:val="28"/>
              </w:rPr>
              <w:sym w:font="Wingdings 2" w:char="00A3"/>
            </w:r>
            <w:r>
              <w:rPr>
                <w:rFonts w:hint="eastAsia" w:ascii="黑体" w:eastAsia="黑体"/>
                <w:sz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不通过答辩</w:t>
            </w:r>
          </w:p>
        </w:tc>
      </w:tr>
    </w:tbl>
    <w:p>
      <w:pPr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注：1.本表供答辩委员会委员评分使用，每位委员以无记名方式独立评分；</w:t>
      </w:r>
    </w:p>
    <w:p>
      <w:pPr>
        <w:ind w:left="420" w:hanging="420" w:hangingChars="20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   2.总分≥90分为优秀，75-89分为良好，60-74分为合格，≤59为不合格，总分≥60分为通过答辩；</w:t>
      </w:r>
    </w:p>
    <w:p>
      <w:pPr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 xml:space="preserve">    3.本表由学院统一保存管理以备查阅。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D23A5"/>
    <w:rsid w:val="0C243E28"/>
    <w:rsid w:val="1F2F15C5"/>
    <w:rsid w:val="269C1117"/>
    <w:rsid w:val="27614B4E"/>
    <w:rsid w:val="320610C9"/>
    <w:rsid w:val="3AC82BA4"/>
    <w:rsid w:val="47DF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2021-04-29T02:42:00Z</dcterms:created>
  <dc:creator>HP</dc:creator>
  <cp:lastModifiedBy>郤江波</cp:lastModifiedBy>
  <dcterms:modified xsi:type="dcterms:W3CDTF">2021-04-29T09:01:02Z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