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仿宋" w:hAnsi="仿宋" w:eastAsia="微软雅黑" w:cs="仿宋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浙江师范大学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硕士</w:t>
      </w:r>
      <w:r>
        <w:rPr>
          <w:rFonts w:hint="eastAsia" w:ascii="微软雅黑" w:hAnsi="微软雅黑" w:eastAsia="微软雅黑" w:cs="微软雅黑"/>
          <w:sz w:val="30"/>
          <w:szCs w:val="30"/>
        </w:rPr>
        <w:t>学位论文答辩评分表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学术学位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637"/>
        <w:gridCol w:w="1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一级学科名称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二级学科名称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学位论文题目</w:t>
            </w:r>
          </w:p>
        </w:tc>
        <w:tc>
          <w:tcPr>
            <w:tcW w:w="6392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评审项目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评审要素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评价分数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论文选题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选题的新颖性；选题的理论意义和现实意义；选题与所属一级学科、研究方向的相关性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文献综述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对本领域文献资料掌握的程度；对国内外研究动态的评述是否恰当；对本论文所要研究问题的目的及意义是否论述清楚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研究成果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（30分）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研究成果的创新性；研究成果的理论意义或实用价值；论文的工作量及难易程度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专业能力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是否掌握坚实的理论基础和系统的专业知识；是否具有从事科学研究工作的能力；是否具有一定的分析问题和解决问题的能力，熟练运用研究方法的能力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学术规范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书写规范、概念准确、数据真实、结论正确、条理清晰、文笔流畅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答辩表现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思路清晰、表达流畅、应答切题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28" w:type="dxa"/>
            <w:gridSpan w:val="4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总分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总体评价</w:t>
            </w:r>
          </w:p>
        </w:tc>
        <w:tc>
          <w:tcPr>
            <w:tcW w:w="6392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eastAsia="黑体"/>
                <w:sz w:val="28"/>
              </w:rPr>
              <w:sym w:font="Wingdings 2" w:char="00A3"/>
            </w:r>
            <w:r>
              <w:rPr>
                <w:rFonts w:hint="eastAsia" w:eastAsia="黑体"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通过答辩</w:t>
            </w:r>
            <w:r>
              <w:rPr>
                <w:rFonts w:eastAsia="黑体"/>
                <w:sz w:val="28"/>
              </w:rPr>
              <w:t xml:space="preserve"> </w:t>
            </w:r>
            <w:r>
              <w:rPr>
                <w:rFonts w:hint="eastAsia" w:eastAsia="黑体"/>
                <w:sz w:val="28"/>
              </w:rPr>
              <w:t xml:space="preserve">    </w:t>
            </w:r>
            <w:r>
              <w:rPr>
                <w:rFonts w:hint="eastAsia" w:ascii="黑体" w:eastAsia="黑体"/>
                <w:sz w:val="28"/>
              </w:rPr>
              <w:sym w:font="Wingdings 2" w:char="00A3"/>
            </w:r>
            <w:r>
              <w:rPr>
                <w:rFonts w:hint="eastAsia" w:ascii="黑体" w:eastAsia="黑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不通过答辩</w:t>
            </w:r>
          </w:p>
        </w:tc>
      </w:tr>
    </w:tbl>
    <w:p>
      <w:pPr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注：1.本表供答辩委员会委员评分使用，每位委员以无记名方式独立评分；</w:t>
      </w:r>
    </w:p>
    <w:p>
      <w:pPr>
        <w:ind w:left="420" w:hanging="420" w:hangingChars="20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   2.总分≥90分为优秀，75-89分为良好，60-74分为合格，≤59为不合格，总分≥60分为通过答辩；</w:t>
      </w:r>
    </w:p>
    <w:p>
      <w:pPr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   3.本表由学院统一保存管理以备查阅。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23A5"/>
    <w:rsid w:val="0C243E28"/>
    <w:rsid w:val="1F2F15C5"/>
    <w:rsid w:val="269C1117"/>
    <w:rsid w:val="27614B4E"/>
    <w:rsid w:val="3AC82BA4"/>
    <w:rsid w:val="47D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2021-04-29T02:42:00Z</dcterms:created>
  <dc:creator>HP</dc:creator>
  <cp:lastModifiedBy>郤江波</cp:lastModifiedBy>
  <dcterms:modified xsi:type="dcterms:W3CDTF">2021-04-29T08:49:08Z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